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501E" w14:textId="35925E34" w:rsidR="00280119" w:rsidRDefault="00280119">
      <w:r>
        <w:t>TI 23</w:t>
      </w:r>
      <w:r w:rsidR="00B84D43">
        <w:t xml:space="preserve"> </w:t>
      </w:r>
      <w:r>
        <w:t>-12 Technology Example – Lonestar Deepwater Decommissioning Analytics Tools</w:t>
      </w:r>
    </w:p>
    <w:p w14:paraId="3D1D5269" w14:textId="77777777" w:rsidR="00280119" w:rsidRDefault="00280119">
      <w:r>
        <w:rPr>
          <w:noProof/>
        </w:rPr>
        <w:drawing>
          <wp:inline distT="0" distB="0" distL="0" distR="0" wp14:anchorId="761D4464" wp14:editId="6AD1EB05">
            <wp:extent cx="3495675" cy="2633441"/>
            <wp:effectExtent l="0" t="0" r="0" b="0"/>
            <wp:docPr id="9529834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83465"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495675" cy="2633441"/>
                    </a:xfrm>
                    <a:prstGeom prst="rect">
                      <a:avLst/>
                    </a:prstGeom>
                  </pic:spPr>
                </pic:pic>
              </a:graphicData>
            </a:graphic>
          </wp:inline>
        </w:drawing>
      </w:r>
    </w:p>
    <w:p w14:paraId="28EF52DF" w14:textId="77777777" w:rsidR="00280119" w:rsidRPr="00280119" w:rsidRDefault="00280119" w:rsidP="00280119">
      <w:pPr>
        <w:shd w:val="clear" w:color="auto" w:fill="FFFFFF"/>
        <w:spacing w:after="150" w:line="240" w:lineRule="auto"/>
        <w:outlineLvl w:val="0"/>
        <w:rPr>
          <w:rFonts w:ascii="Arial" w:eastAsia="Times New Roman" w:hAnsi="Arial" w:cs="Arial"/>
          <w:b/>
          <w:bCs/>
          <w:color w:val="333333"/>
          <w:kern w:val="36"/>
          <w:sz w:val="28"/>
          <w:szCs w:val="28"/>
          <w:lang w:eastAsia="en-GB"/>
          <w14:ligatures w14:val="none"/>
        </w:rPr>
      </w:pPr>
      <w:r w:rsidRPr="00280119">
        <w:rPr>
          <w:rFonts w:ascii="Arial" w:eastAsia="Times New Roman" w:hAnsi="Arial" w:cs="Arial"/>
          <w:b/>
          <w:bCs/>
          <w:color w:val="333333"/>
          <w:kern w:val="36"/>
          <w:sz w:val="28"/>
          <w:szCs w:val="28"/>
          <w:bdr w:val="none" w:sz="0" w:space="0" w:color="auto" w:frame="1"/>
          <w:lang w:eastAsia="en-GB"/>
          <w14:ligatures w14:val="none"/>
        </w:rPr>
        <w:t>Decommissioning</w:t>
      </w:r>
    </w:p>
    <w:p w14:paraId="004B0EDB" w14:textId="77777777" w:rsidR="00280119" w:rsidRPr="00280119" w:rsidRDefault="00280119" w:rsidP="00280119">
      <w:pPr>
        <w:shd w:val="clear" w:color="auto" w:fill="FFFFFF"/>
        <w:spacing w:line="240" w:lineRule="auto"/>
        <w:rPr>
          <w:rFonts w:ascii="Arial" w:eastAsia="Times New Roman" w:hAnsi="Arial" w:cs="Arial"/>
          <w:color w:val="000000"/>
          <w:kern w:val="0"/>
          <w:sz w:val="27"/>
          <w:szCs w:val="27"/>
          <w:lang w:eastAsia="en-GB"/>
          <w14:ligatures w14:val="none"/>
        </w:rPr>
      </w:pPr>
      <w:r w:rsidRPr="00280119">
        <w:rPr>
          <w:rFonts w:ascii="Arial" w:eastAsia="Times New Roman" w:hAnsi="Arial" w:cs="Arial"/>
          <w:color w:val="000000"/>
          <w:kern w:val="0"/>
          <w:sz w:val="24"/>
          <w:szCs w:val="24"/>
          <w:lang w:eastAsia="en-GB"/>
          <w14:ligatures w14:val="none"/>
        </w:rPr>
        <w:t>LoneStar Deepwater provides experienced project leads to manage or support every phase of the decommissioning and abandonment of existing offshore facilities. LoneStar also has comprehensive experience in the management of post-storm decommissioning and abandonment of facilities damaged or destroyed. Such experience includes overall project management down to construction and diving supervision leads</w:t>
      </w:r>
      <w:r w:rsidRPr="00280119">
        <w:rPr>
          <w:rFonts w:ascii="Arial" w:eastAsia="Times New Roman" w:hAnsi="Arial" w:cs="Arial"/>
          <w:color w:val="000000"/>
          <w:kern w:val="0"/>
          <w:sz w:val="27"/>
          <w:szCs w:val="27"/>
          <w:lang w:eastAsia="en-GB"/>
          <w14:ligatures w14:val="none"/>
        </w:rPr>
        <w:t>.</w:t>
      </w:r>
    </w:p>
    <w:p w14:paraId="5A8592DE" w14:textId="77777777" w:rsidR="00280119" w:rsidRPr="00280119" w:rsidRDefault="00280119" w:rsidP="00280119">
      <w:pPr>
        <w:shd w:val="clear" w:color="auto" w:fill="F2F2F2"/>
        <w:spacing w:after="0" w:line="240" w:lineRule="auto"/>
        <w:rPr>
          <w:rFonts w:ascii="Arial" w:eastAsia="Times New Roman" w:hAnsi="Arial" w:cs="Arial"/>
          <w:color w:val="000000"/>
          <w:kern w:val="0"/>
          <w:sz w:val="28"/>
          <w:szCs w:val="28"/>
          <w:lang w:eastAsia="en-GB"/>
          <w14:ligatures w14:val="none"/>
        </w:rPr>
      </w:pPr>
      <w:r w:rsidRPr="00280119">
        <w:rPr>
          <w:rFonts w:ascii="Arial" w:eastAsia="Times New Roman" w:hAnsi="Arial" w:cs="Arial"/>
          <w:b/>
          <w:bCs/>
          <w:color w:val="000000"/>
          <w:kern w:val="0"/>
          <w:sz w:val="28"/>
          <w:szCs w:val="28"/>
          <w:lang w:eastAsia="en-GB"/>
          <w14:ligatures w14:val="none"/>
        </w:rPr>
        <w:t>Services include</w:t>
      </w:r>
    </w:p>
    <w:p w14:paraId="5160280A" w14:textId="77777777" w:rsidR="00280119" w:rsidRPr="00B15AEA" w:rsidRDefault="00280119" w:rsidP="00280119">
      <w:pPr>
        <w:numPr>
          <w:ilvl w:val="0"/>
          <w:numId w:val="1"/>
        </w:numPr>
        <w:shd w:val="clear" w:color="auto" w:fill="F2F2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Project Management and Planning.</w:t>
      </w:r>
    </w:p>
    <w:p w14:paraId="70ECE43E" w14:textId="77777777" w:rsidR="00280119" w:rsidRPr="00B15AEA" w:rsidRDefault="00280119" w:rsidP="00280119">
      <w:pPr>
        <w:numPr>
          <w:ilvl w:val="0"/>
          <w:numId w:val="1"/>
        </w:numPr>
        <w:shd w:val="clear" w:color="auto" w:fill="F2F2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Abandonment Liability Estimates.</w:t>
      </w:r>
    </w:p>
    <w:p w14:paraId="4AFD0BD8" w14:textId="77777777" w:rsidR="00280119" w:rsidRPr="00B15AEA" w:rsidRDefault="00280119" w:rsidP="00280119">
      <w:pPr>
        <w:numPr>
          <w:ilvl w:val="0"/>
          <w:numId w:val="1"/>
        </w:numPr>
        <w:shd w:val="clear" w:color="auto" w:fill="F2F2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Management of Project Accounting, Regulatory and Financial Reporting requirements.</w:t>
      </w:r>
    </w:p>
    <w:p w14:paraId="68BC37E8" w14:textId="77777777" w:rsidR="00280119" w:rsidRPr="00B15AEA" w:rsidRDefault="00280119" w:rsidP="00280119">
      <w:pPr>
        <w:numPr>
          <w:ilvl w:val="0"/>
          <w:numId w:val="1"/>
        </w:numPr>
        <w:shd w:val="clear" w:color="auto" w:fill="F2F2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Decommissioning Execution Plan strategy and development.</w:t>
      </w:r>
    </w:p>
    <w:p w14:paraId="17B9A257" w14:textId="77777777" w:rsidR="00280119" w:rsidRPr="00B15AEA" w:rsidRDefault="00280119" w:rsidP="00280119">
      <w:pPr>
        <w:numPr>
          <w:ilvl w:val="0"/>
          <w:numId w:val="2"/>
        </w:numPr>
        <w:shd w:val="clear" w:color="auto" w:fill="F2F2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Management and supervision of detailed pre-abandonment surveys and execution risk assessments.</w:t>
      </w:r>
    </w:p>
    <w:p w14:paraId="47959C07" w14:textId="77777777" w:rsidR="00280119" w:rsidRPr="00B15AEA" w:rsidRDefault="00280119" w:rsidP="00280119">
      <w:pPr>
        <w:numPr>
          <w:ilvl w:val="0"/>
          <w:numId w:val="2"/>
        </w:numPr>
        <w:shd w:val="clear" w:color="auto" w:fill="F2F2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Contractor selection.</w:t>
      </w:r>
    </w:p>
    <w:p w14:paraId="518F89C4" w14:textId="77777777" w:rsidR="00280119" w:rsidRPr="00B15AEA" w:rsidRDefault="00280119" w:rsidP="00280119">
      <w:pPr>
        <w:numPr>
          <w:ilvl w:val="0"/>
          <w:numId w:val="2"/>
        </w:numPr>
        <w:shd w:val="clear" w:color="auto" w:fill="F2F2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Tool testing protocols and testing supervision.</w:t>
      </w:r>
    </w:p>
    <w:p w14:paraId="0AA4FA26" w14:textId="77777777" w:rsidR="00280119" w:rsidRPr="00B15AEA" w:rsidRDefault="00280119" w:rsidP="3FA8A2BD">
      <w:pPr>
        <w:numPr>
          <w:ilvl w:val="0"/>
          <w:numId w:val="2"/>
        </w:numPr>
        <w:shd w:val="clear" w:color="auto" w:fill="F2F2F2" w:themeFill="background1" w:themeFillShade="F2"/>
        <w:spacing w:before="100" w:beforeAutospacing="1" w:after="300" w:line="240" w:lineRule="auto"/>
        <w:ind w:left="1020"/>
        <w:rPr>
          <w:rFonts w:ascii="Arial" w:eastAsia="Times New Roman" w:hAnsi="Arial" w:cs="Arial"/>
          <w:color w:val="6B6B6B"/>
          <w:kern w:val="0"/>
          <w:sz w:val="24"/>
          <w:szCs w:val="24"/>
          <w:lang w:eastAsia="en-GB"/>
          <w14:ligatures w14:val="none"/>
        </w:rPr>
      </w:pPr>
      <w:r w:rsidRPr="00B15AEA">
        <w:rPr>
          <w:rFonts w:ascii="Arial" w:eastAsia="Times New Roman" w:hAnsi="Arial" w:cs="Arial"/>
          <w:color w:val="6B6B6B"/>
          <w:kern w:val="0"/>
          <w:sz w:val="24"/>
          <w:szCs w:val="24"/>
          <w:lang w:eastAsia="en-GB"/>
          <w14:ligatures w14:val="none"/>
        </w:rPr>
        <w:t>Offshore decommissioning supervision.</w:t>
      </w:r>
    </w:p>
    <w:p w14:paraId="0D2606B2" w14:textId="2DB9ED12" w:rsidR="40E7FC2E" w:rsidRPr="00B15AEA" w:rsidRDefault="40E7FC2E" w:rsidP="3FA8A2BD">
      <w:pPr>
        <w:shd w:val="clear" w:color="auto" w:fill="F2F2F2" w:themeFill="background1" w:themeFillShade="F2"/>
        <w:spacing w:beforeAutospacing="1" w:after="300" w:line="240" w:lineRule="auto"/>
        <w:rPr>
          <w:rFonts w:ascii="Arial" w:eastAsia="Times New Roman" w:hAnsi="Arial" w:cs="Arial"/>
          <w:color w:val="6B6B6B"/>
          <w:sz w:val="24"/>
          <w:szCs w:val="24"/>
          <w:lang w:eastAsia="en-GB"/>
        </w:rPr>
      </w:pPr>
      <w:r w:rsidRPr="00B15AEA">
        <w:rPr>
          <w:rFonts w:ascii="Arial" w:eastAsia="Times New Roman" w:hAnsi="Arial" w:cs="Arial"/>
          <w:color w:val="6B6B6B"/>
          <w:sz w:val="24"/>
          <w:szCs w:val="24"/>
          <w:lang w:eastAsia="en-GB"/>
        </w:rPr>
        <w:t>Link to vendors website:</w:t>
      </w:r>
    </w:p>
    <w:p w14:paraId="2362D219" w14:textId="205B3492" w:rsidR="35D362A3" w:rsidRDefault="35D362A3" w:rsidP="3FA8A2BD">
      <w:pPr>
        <w:spacing w:beforeAutospacing="1" w:after="300" w:line="240" w:lineRule="auto"/>
        <w:rPr>
          <w:rFonts w:ascii="Arial" w:eastAsia="Arial" w:hAnsi="Arial" w:cs="Arial"/>
          <w:sz w:val="24"/>
          <w:szCs w:val="24"/>
        </w:rPr>
      </w:pPr>
      <w:hyperlink r:id="rId9">
        <w:r w:rsidRPr="3FA8A2BD">
          <w:rPr>
            <w:rStyle w:val="Hyperlink"/>
            <w:rFonts w:ascii="Arial" w:eastAsia="Arial" w:hAnsi="Arial" w:cs="Arial"/>
            <w:sz w:val="24"/>
            <w:szCs w:val="24"/>
          </w:rPr>
          <w:t>Decommissioning - Lonestar Deepwater</w:t>
        </w:r>
      </w:hyperlink>
    </w:p>
    <w:sectPr w:rsidR="35D36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DB"/>
    <w:multiLevelType w:val="multilevel"/>
    <w:tmpl w:val="7DC4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87B61"/>
    <w:multiLevelType w:val="multilevel"/>
    <w:tmpl w:val="FFC8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465176">
    <w:abstractNumId w:val="1"/>
  </w:num>
  <w:num w:numId="2" w16cid:durableId="148766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19"/>
    <w:rsid w:val="00280119"/>
    <w:rsid w:val="005B21A7"/>
    <w:rsid w:val="007370B9"/>
    <w:rsid w:val="00B15AEA"/>
    <w:rsid w:val="00B84D43"/>
    <w:rsid w:val="00EC1211"/>
    <w:rsid w:val="05BA2A1A"/>
    <w:rsid w:val="35D362A3"/>
    <w:rsid w:val="392AE8E9"/>
    <w:rsid w:val="3FA8A2BD"/>
    <w:rsid w:val="40E7F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277C"/>
  <w15:chartTrackingRefBased/>
  <w15:docId w15:val="{802E51F2-6BE1-4317-9027-13BBDBFD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52338">
      <w:bodyDiv w:val="1"/>
      <w:marLeft w:val="0"/>
      <w:marRight w:val="0"/>
      <w:marTop w:val="0"/>
      <w:marBottom w:val="0"/>
      <w:divBdr>
        <w:top w:val="none" w:sz="0" w:space="0" w:color="auto"/>
        <w:left w:val="none" w:sz="0" w:space="0" w:color="auto"/>
        <w:bottom w:val="none" w:sz="0" w:space="0" w:color="auto"/>
        <w:right w:val="none" w:sz="0" w:space="0" w:color="auto"/>
      </w:divBdr>
      <w:divsChild>
        <w:div w:id="1936817329">
          <w:marLeft w:val="0"/>
          <w:marRight w:val="0"/>
          <w:marTop w:val="0"/>
          <w:marBottom w:val="0"/>
          <w:divBdr>
            <w:top w:val="none" w:sz="0" w:space="0" w:color="auto"/>
            <w:left w:val="none" w:sz="0" w:space="0" w:color="auto"/>
            <w:bottom w:val="none" w:sz="0" w:space="0" w:color="auto"/>
            <w:right w:val="none" w:sz="0" w:space="0" w:color="auto"/>
          </w:divBdr>
          <w:divsChild>
            <w:div w:id="2008052243">
              <w:marLeft w:val="0"/>
              <w:marRight w:val="0"/>
              <w:marTop w:val="0"/>
              <w:marBottom w:val="0"/>
              <w:divBdr>
                <w:top w:val="none" w:sz="0" w:space="0" w:color="auto"/>
                <w:left w:val="none" w:sz="0" w:space="0" w:color="auto"/>
                <w:bottom w:val="none" w:sz="0" w:space="0" w:color="auto"/>
                <w:right w:val="none" w:sz="0" w:space="0" w:color="auto"/>
              </w:divBdr>
              <w:divsChild>
                <w:div w:id="1018629037">
                  <w:marLeft w:val="0"/>
                  <w:marRight w:val="0"/>
                  <w:marTop w:val="0"/>
                  <w:marBottom w:val="0"/>
                  <w:divBdr>
                    <w:top w:val="none" w:sz="0" w:space="0" w:color="auto"/>
                    <w:left w:val="none" w:sz="0" w:space="0" w:color="auto"/>
                    <w:bottom w:val="none" w:sz="0" w:space="0" w:color="auto"/>
                    <w:right w:val="none" w:sz="0" w:space="0" w:color="auto"/>
                  </w:divBdr>
                  <w:divsChild>
                    <w:div w:id="906964133">
                      <w:marLeft w:val="0"/>
                      <w:marRight w:val="0"/>
                      <w:marTop w:val="0"/>
                      <w:marBottom w:val="0"/>
                      <w:divBdr>
                        <w:top w:val="none" w:sz="0" w:space="0" w:color="auto"/>
                        <w:left w:val="none" w:sz="0" w:space="0" w:color="auto"/>
                        <w:bottom w:val="none" w:sz="0" w:space="0" w:color="auto"/>
                        <w:right w:val="none" w:sz="0" w:space="0" w:color="auto"/>
                      </w:divBdr>
                      <w:divsChild>
                        <w:div w:id="60177764">
                          <w:marLeft w:val="0"/>
                          <w:marRight w:val="0"/>
                          <w:marTop w:val="0"/>
                          <w:marBottom w:val="0"/>
                          <w:divBdr>
                            <w:top w:val="none" w:sz="0" w:space="0" w:color="auto"/>
                            <w:left w:val="none" w:sz="0" w:space="0" w:color="auto"/>
                            <w:bottom w:val="none" w:sz="0" w:space="0" w:color="auto"/>
                            <w:right w:val="none" w:sz="0" w:space="0" w:color="auto"/>
                          </w:divBdr>
                          <w:divsChild>
                            <w:div w:id="1036733459">
                              <w:marLeft w:val="0"/>
                              <w:marRight w:val="150"/>
                              <w:marTop w:val="0"/>
                              <w:marBottom w:val="0"/>
                              <w:divBdr>
                                <w:top w:val="none" w:sz="0" w:space="0" w:color="F2F2F2"/>
                                <w:left w:val="none" w:sz="0" w:space="0" w:color="F2F2F2"/>
                                <w:bottom w:val="none" w:sz="0" w:space="0" w:color="F2F2F2"/>
                                <w:right w:val="none" w:sz="0" w:space="0" w:color="F2F2F2"/>
                              </w:divBdr>
                              <w:divsChild>
                                <w:div w:id="1365904366">
                                  <w:marLeft w:val="0"/>
                                  <w:marRight w:val="0"/>
                                  <w:marTop w:val="0"/>
                                  <w:marBottom w:val="0"/>
                                  <w:divBdr>
                                    <w:top w:val="none" w:sz="0" w:space="0" w:color="auto"/>
                                    <w:left w:val="none" w:sz="0" w:space="0" w:color="auto"/>
                                    <w:bottom w:val="none" w:sz="0" w:space="0" w:color="auto"/>
                                    <w:right w:val="none" w:sz="0" w:space="0" w:color="auto"/>
                                  </w:divBdr>
                                  <w:divsChild>
                                    <w:div w:id="247688932">
                                      <w:marLeft w:val="300"/>
                                      <w:marRight w:val="300"/>
                                      <w:marTop w:val="300"/>
                                      <w:marBottom w:val="300"/>
                                      <w:divBdr>
                                        <w:top w:val="none" w:sz="0" w:space="0" w:color="auto"/>
                                        <w:left w:val="none" w:sz="0" w:space="0" w:color="auto"/>
                                        <w:bottom w:val="none" w:sz="0" w:space="0" w:color="auto"/>
                                        <w:right w:val="none" w:sz="0" w:space="0" w:color="auto"/>
                                      </w:divBdr>
                                      <w:divsChild>
                                        <w:div w:id="1376273910">
                                          <w:marLeft w:val="0"/>
                                          <w:marRight w:val="0"/>
                                          <w:marTop w:val="0"/>
                                          <w:marBottom w:val="0"/>
                                          <w:divBdr>
                                            <w:top w:val="none" w:sz="0" w:space="0" w:color="auto"/>
                                            <w:left w:val="none" w:sz="0" w:space="0" w:color="auto"/>
                                            <w:bottom w:val="none" w:sz="0" w:space="0" w:color="auto"/>
                                            <w:right w:val="none" w:sz="0" w:space="0" w:color="auto"/>
                                          </w:divBdr>
                                        </w:div>
                                        <w:div w:id="2914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78166">
          <w:marLeft w:val="0"/>
          <w:marRight w:val="0"/>
          <w:marTop w:val="0"/>
          <w:marBottom w:val="0"/>
          <w:divBdr>
            <w:top w:val="none" w:sz="0" w:space="0" w:color="auto"/>
            <w:left w:val="none" w:sz="0" w:space="0" w:color="auto"/>
            <w:bottom w:val="none" w:sz="0" w:space="0" w:color="auto"/>
            <w:right w:val="none" w:sz="0" w:space="0" w:color="auto"/>
          </w:divBdr>
          <w:divsChild>
            <w:div w:id="1141921954">
              <w:marLeft w:val="0"/>
              <w:marRight w:val="0"/>
              <w:marTop w:val="0"/>
              <w:marBottom w:val="0"/>
              <w:divBdr>
                <w:top w:val="none" w:sz="0" w:space="0" w:color="auto"/>
                <w:left w:val="none" w:sz="0" w:space="0" w:color="auto"/>
                <w:bottom w:val="none" w:sz="0" w:space="0" w:color="auto"/>
                <w:right w:val="none" w:sz="0" w:space="0" w:color="auto"/>
              </w:divBdr>
              <w:divsChild>
                <w:div w:id="676348344">
                  <w:marLeft w:val="0"/>
                  <w:marRight w:val="0"/>
                  <w:marTop w:val="0"/>
                  <w:marBottom w:val="0"/>
                  <w:divBdr>
                    <w:top w:val="none" w:sz="0" w:space="0" w:color="auto"/>
                    <w:left w:val="none" w:sz="0" w:space="0" w:color="auto"/>
                    <w:bottom w:val="none" w:sz="0" w:space="0" w:color="auto"/>
                    <w:right w:val="none" w:sz="0" w:space="0" w:color="auto"/>
                  </w:divBdr>
                  <w:divsChild>
                    <w:div w:id="460805516">
                      <w:marLeft w:val="0"/>
                      <w:marRight w:val="0"/>
                      <w:marTop w:val="0"/>
                      <w:marBottom w:val="0"/>
                      <w:divBdr>
                        <w:top w:val="none" w:sz="0" w:space="0" w:color="auto"/>
                        <w:left w:val="none" w:sz="0" w:space="0" w:color="auto"/>
                        <w:bottom w:val="none" w:sz="0" w:space="0" w:color="auto"/>
                        <w:right w:val="none" w:sz="0" w:space="0" w:color="auto"/>
                      </w:divBdr>
                      <w:divsChild>
                        <w:div w:id="146829380">
                          <w:marLeft w:val="0"/>
                          <w:marRight w:val="0"/>
                          <w:marTop w:val="0"/>
                          <w:marBottom w:val="0"/>
                          <w:divBdr>
                            <w:top w:val="none" w:sz="0" w:space="0" w:color="auto"/>
                            <w:left w:val="none" w:sz="0" w:space="0" w:color="auto"/>
                            <w:bottom w:val="none" w:sz="0" w:space="0" w:color="auto"/>
                            <w:right w:val="none" w:sz="0" w:space="0" w:color="auto"/>
                          </w:divBdr>
                          <w:divsChild>
                            <w:div w:id="1842235664">
                              <w:marLeft w:val="0"/>
                              <w:marRight w:val="0"/>
                              <w:marTop w:val="0"/>
                              <w:marBottom w:val="0"/>
                              <w:divBdr>
                                <w:top w:val="none" w:sz="0" w:space="0" w:color="auto"/>
                                <w:left w:val="none" w:sz="0" w:space="0" w:color="auto"/>
                                <w:bottom w:val="none" w:sz="0" w:space="0" w:color="auto"/>
                                <w:right w:val="none" w:sz="0" w:space="0" w:color="auto"/>
                              </w:divBdr>
                              <w:divsChild>
                                <w:div w:id="116604778">
                                  <w:marLeft w:val="0"/>
                                  <w:marRight w:val="0"/>
                                  <w:marTop w:val="0"/>
                                  <w:marBottom w:val="0"/>
                                  <w:divBdr>
                                    <w:top w:val="none" w:sz="0" w:space="0" w:color="auto"/>
                                    <w:left w:val="none" w:sz="0" w:space="0" w:color="auto"/>
                                    <w:bottom w:val="none" w:sz="0" w:space="0" w:color="auto"/>
                                    <w:right w:val="none" w:sz="0" w:space="0" w:color="auto"/>
                                  </w:divBdr>
                                  <w:divsChild>
                                    <w:div w:id="1807159818">
                                      <w:marLeft w:val="300"/>
                                      <w:marRight w:val="300"/>
                                      <w:marTop w:val="150"/>
                                      <w:marBottom w:val="0"/>
                                      <w:divBdr>
                                        <w:top w:val="none" w:sz="0" w:space="0" w:color="auto"/>
                                        <w:left w:val="none" w:sz="0" w:space="0" w:color="auto"/>
                                        <w:bottom w:val="none" w:sz="0" w:space="0" w:color="auto"/>
                                        <w:right w:val="none" w:sz="0" w:space="0" w:color="auto"/>
                                      </w:divBdr>
                                      <w:divsChild>
                                        <w:div w:id="8907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79227">
                      <w:marLeft w:val="0"/>
                      <w:marRight w:val="0"/>
                      <w:marTop w:val="0"/>
                      <w:marBottom w:val="0"/>
                      <w:divBdr>
                        <w:top w:val="none" w:sz="0" w:space="0" w:color="auto"/>
                        <w:left w:val="none" w:sz="0" w:space="0" w:color="auto"/>
                        <w:bottom w:val="none" w:sz="0" w:space="0" w:color="auto"/>
                        <w:right w:val="none" w:sz="0" w:space="0" w:color="auto"/>
                      </w:divBdr>
                      <w:divsChild>
                        <w:div w:id="1537621400">
                          <w:marLeft w:val="0"/>
                          <w:marRight w:val="0"/>
                          <w:marTop w:val="0"/>
                          <w:marBottom w:val="0"/>
                          <w:divBdr>
                            <w:top w:val="none" w:sz="0" w:space="0" w:color="auto"/>
                            <w:left w:val="none" w:sz="0" w:space="0" w:color="auto"/>
                            <w:bottom w:val="none" w:sz="0" w:space="0" w:color="auto"/>
                            <w:right w:val="none" w:sz="0" w:space="0" w:color="auto"/>
                          </w:divBdr>
                          <w:divsChild>
                            <w:div w:id="1332443741">
                              <w:marLeft w:val="0"/>
                              <w:marRight w:val="150"/>
                              <w:marTop w:val="0"/>
                              <w:marBottom w:val="0"/>
                              <w:divBdr>
                                <w:top w:val="none" w:sz="0" w:space="0" w:color="F2F2F2"/>
                                <w:left w:val="none" w:sz="0" w:space="0" w:color="F2F2F2"/>
                                <w:bottom w:val="none" w:sz="0" w:space="0" w:color="F2F2F2"/>
                                <w:right w:val="none" w:sz="0" w:space="0" w:color="F2F2F2"/>
                              </w:divBdr>
                              <w:divsChild>
                                <w:div w:id="871384755">
                                  <w:marLeft w:val="0"/>
                                  <w:marRight w:val="0"/>
                                  <w:marTop w:val="0"/>
                                  <w:marBottom w:val="0"/>
                                  <w:divBdr>
                                    <w:top w:val="none" w:sz="0" w:space="0" w:color="auto"/>
                                    <w:left w:val="none" w:sz="0" w:space="0" w:color="auto"/>
                                    <w:bottom w:val="none" w:sz="0" w:space="0" w:color="auto"/>
                                    <w:right w:val="none" w:sz="0" w:space="0" w:color="auto"/>
                                  </w:divBdr>
                                  <w:divsChild>
                                    <w:div w:id="1788087725">
                                      <w:marLeft w:val="300"/>
                                      <w:marRight w:val="300"/>
                                      <w:marTop w:val="300"/>
                                      <w:marBottom w:val="0"/>
                                      <w:divBdr>
                                        <w:top w:val="none" w:sz="0" w:space="0" w:color="auto"/>
                                        <w:left w:val="none" w:sz="0" w:space="0" w:color="auto"/>
                                        <w:bottom w:val="none" w:sz="0" w:space="0" w:color="auto"/>
                                        <w:right w:val="none" w:sz="0" w:space="0" w:color="auto"/>
                                      </w:divBdr>
                                      <w:divsChild>
                                        <w:div w:id="20832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6318">
                          <w:marLeft w:val="0"/>
                          <w:marRight w:val="0"/>
                          <w:marTop w:val="0"/>
                          <w:marBottom w:val="0"/>
                          <w:divBdr>
                            <w:top w:val="none" w:sz="0" w:space="0" w:color="auto"/>
                            <w:left w:val="none" w:sz="0" w:space="0" w:color="auto"/>
                            <w:bottom w:val="none" w:sz="0" w:space="0" w:color="auto"/>
                            <w:right w:val="none" w:sz="0" w:space="0" w:color="auto"/>
                          </w:divBdr>
                          <w:divsChild>
                            <w:div w:id="1040206845">
                              <w:marLeft w:val="0"/>
                              <w:marRight w:val="150"/>
                              <w:marTop w:val="0"/>
                              <w:marBottom w:val="0"/>
                              <w:divBdr>
                                <w:top w:val="none" w:sz="0" w:space="0" w:color="F2F2F2"/>
                                <w:left w:val="none" w:sz="0" w:space="0" w:color="F2F2F2"/>
                                <w:bottom w:val="none" w:sz="0" w:space="0" w:color="F2F2F2"/>
                                <w:right w:val="none" w:sz="0" w:space="0" w:color="F2F2F2"/>
                              </w:divBdr>
                              <w:divsChild>
                                <w:div w:id="995842950">
                                  <w:marLeft w:val="0"/>
                                  <w:marRight w:val="0"/>
                                  <w:marTop w:val="0"/>
                                  <w:marBottom w:val="0"/>
                                  <w:divBdr>
                                    <w:top w:val="none" w:sz="0" w:space="0" w:color="auto"/>
                                    <w:left w:val="none" w:sz="0" w:space="0" w:color="auto"/>
                                    <w:bottom w:val="none" w:sz="0" w:space="0" w:color="auto"/>
                                    <w:right w:val="none" w:sz="0" w:space="0" w:color="auto"/>
                                  </w:divBdr>
                                  <w:divsChild>
                                    <w:div w:id="1219591965">
                                      <w:marLeft w:val="300"/>
                                      <w:marRight w:val="300"/>
                                      <w:marTop w:val="300"/>
                                      <w:marBottom w:val="0"/>
                                      <w:divBdr>
                                        <w:top w:val="none" w:sz="0" w:space="0" w:color="auto"/>
                                        <w:left w:val="none" w:sz="0" w:space="0" w:color="auto"/>
                                        <w:bottom w:val="none" w:sz="0" w:space="0" w:color="auto"/>
                                        <w:right w:val="none" w:sz="0" w:space="0" w:color="auto"/>
                                      </w:divBdr>
                                      <w:divsChild>
                                        <w:div w:id="5716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nestardeepwater.com/decommiss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5" ma:contentTypeDescription="Create a new document." ma:contentTypeScope="" ma:versionID="3542d60161a9937de52e25815ed6bb43">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8da3ef9e5189e096b8d9be95692c8c0b"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0B298-42E7-45EA-83AA-512B2F0C8EC1}">
  <ds:schemaRefs>
    <ds:schemaRef ds:uri="http://schemas.microsoft.com/office/2006/metadata/properties"/>
    <ds:schemaRef ds:uri="http://schemas.microsoft.com/office/infopath/2007/PartnerControls"/>
    <ds:schemaRef ds:uri="4a04cb5a-1551-4010-ba0b-ae7d43aef29e"/>
    <ds:schemaRef ds:uri="6d2259b2-5814-406b-97b9-294d7909422d"/>
  </ds:schemaRefs>
</ds:datastoreItem>
</file>

<file path=customXml/itemProps2.xml><?xml version="1.0" encoding="utf-8"?>
<ds:datastoreItem xmlns:ds="http://schemas.openxmlformats.org/officeDocument/2006/customXml" ds:itemID="{67B9C874-66CD-4184-9FD5-5845F01D718E}">
  <ds:schemaRefs>
    <ds:schemaRef ds:uri="http://schemas.microsoft.com/sharepoint/v3/contenttype/forms"/>
  </ds:schemaRefs>
</ds:datastoreItem>
</file>

<file path=customXml/itemProps3.xml><?xml version="1.0" encoding="utf-8"?>
<ds:datastoreItem xmlns:ds="http://schemas.openxmlformats.org/officeDocument/2006/customXml" ds:itemID="{7690879B-AB11-4D8B-BA67-6B6B5E82A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4</cp:revision>
  <dcterms:created xsi:type="dcterms:W3CDTF">2023-11-08T13:52:00Z</dcterms:created>
  <dcterms:modified xsi:type="dcterms:W3CDTF">2025-11-05T13:04:00Z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MediaServiceImageTags">
    <vt:lpwstr/>
  </property>
  <property fmtid="{D5CDD505-2E9C-101B-9397-08002B2CF9AE}" pid="4" name="Category">
    <vt:lpwstr/>
  </property>
</Properties>
</file>