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4A337" w14:textId="77777777" w:rsidR="009868F0" w:rsidRPr="00864071" w:rsidRDefault="00114783" w:rsidP="00EA2340">
      <w:pPr>
        <w:jc w:val="both"/>
        <w:rPr>
          <w:rFonts w:ascii="Arial" w:hAnsi="Arial" w:cs="Arial"/>
          <w:b/>
          <w:bCs/>
          <w:color w:val="FF0000"/>
        </w:rPr>
      </w:pPr>
      <w:bookmarkStart w:id="0" w:name="_GoBack"/>
      <w:bookmarkEnd w:id="0"/>
      <w:r>
        <w:rPr>
          <w:rFonts w:ascii="Arial" w:hAnsi="Arial" w:cs="Arial"/>
          <w:b/>
          <w:bCs/>
        </w:rPr>
        <w:t xml:space="preserve">                      </w:t>
      </w:r>
      <w:r w:rsidR="009868F0">
        <w:rPr>
          <w:rFonts w:ascii="Arial" w:hAnsi="Arial" w:cs="Arial"/>
          <w:b/>
          <w:bCs/>
        </w:rPr>
        <w:tab/>
      </w:r>
      <w:r w:rsidR="009868F0">
        <w:rPr>
          <w:rFonts w:ascii="Arial" w:hAnsi="Arial" w:cs="Arial"/>
          <w:b/>
          <w:bCs/>
        </w:rPr>
        <w:tab/>
      </w:r>
      <w:r w:rsidR="009868F0">
        <w:rPr>
          <w:rFonts w:ascii="Arial" w:hAnsi="Arial" w:cs="Arial"/>
          <w:b/>
          <w:bCs/>
        </w:rPr>
        <w:tab/>
      </w:r>
      <w:r>
        <w:rPr>
          <w:rFonts w:ascii="Arial" w:hAnsi="Arial" w:cs="Arial"/>
          <w:b/>
          <w:bCs/>
        </w:rPr>
        <w:t xml:space="preserve">         </w:t>
      </w:r>
      <w:r w:rsidR="00742FFD">
        <w:rPr>
          <w:rFonts w:ascii="Arial" w:hAnsi="Arial" w:cs="Arial"/>
          <w:b/>
          <w:bCs/>
        </w:rPr>
        <w:t xml:space="preserve">Version </w:t>
      </w:r>
      <w:r w:rsidR="00B3561E">
        <w:rPr>
          <w:rFonts w:ascii="Arial" w:hAnsi="Arial" w:cs="Arial"/>
          <w:b/>
          <w:bCs/>
        </w:rPr>
        <w:t>7</w:t>
      </w:r>
      <w:r w:rsidR="009868F0" w:rsidRPr="009868F0">
        <w:rPr>
          <w:rFonts w:ascii="Arial" w:hAnsi="Arial" w:cs="Arial"/>
          <w:b/>
          <w:bCs/>
          <w:color w:val="FF0000"/>
        </w:rPr>
        <w:t xml:space="preserve"> </w:t>
      </w:r>
      <w:r w:rsidR="009868F0" w:rsidRPr="004E5D6A">
        <w:rPr>
          <w:rFonts w:ascii="Arial" w:hAnsi="Arial" w:cs="Arial"/>
          <w:b/>
          <w:bCs/>
        </w:rPr>
        <w:t>(</w:t>
      </w:r>
      <w:r>
        <w:rPr>
          <w:rFonts w:ascii="Arial" w:hAnsi="Arial" w:cs="Arial"/>
          <w:b/>
          <w:bCs/>
        </w:rPr>
        <w:t>10</w:t>
      </w:r>
      <w:r w:rsidRPr="00114783">
        <w:rPr>
          <w:rFonts w:ascii="Arial" w:hAnsi="Arial" w:cs="Arial"/>
          <w:b/>
          <w:bCs/>
          <w:vertAlign w:val="superscript"/>
        </w:rPr>
        <w:t>th</w:t>
      </w:r>
      <w:r>
        <w:rPr>
          <w:rFonts w:ascii="Arial" w:hAnsi="Arial" w:cs="Arial"/>
          <w:b/>
          <w:bCs/>
        </w:rPr>
        <w:t xml:space="preserve"> November </w:t>
      </w:r>
      <w:r w:rsidR="00743487">
        <w:rPr>
          <w:rFonts w:ascii="Arial" w:hAnsi="Arial" w:cs="Arial"/>
          <w:b/>
          <w:bCs/>
        </w:rPr>
        <w:t>2017</w:t>
      </w:r>
      <w:r w:rsidR="009868F0" w:rsidRPr="004E5D6A">
        <w:rPr>
          <w:rFonts w:ascii="Arial" w:hAnsi="Arial" w:cs="Arial"/>
          <w:b/>
          <w:bCs/>
        </w:rPr>
        <w:t>)</w:t>
      </w:r>
    </w:p>
    <w:p w14:paraId="66767209" w14:textId="77777777" w:rsidR="009868F0" w:rsidRDefault="009868F0" w:rsidP="00EA2340">
      <w:pPr>
        <w:jc w:val="both"/>
        <w:rPr>
          <w:rFonts w:ascii="Arial" w:hAnsi="Arial" w:cs="Arial"/>
          <w:b/>
          <w:bCs/>
        </w:rPr>
      </w:pPr>
    </w:p>
    <w:p w14:paraId="6901A32D" w14:textId="77777777" w:rsidR="00F30F7A" w:rsidRPr="00F30F7A" w:rsidRDefault="00F30F7A" w:rsidP="00EA2340">
      <w:pPr>
        <w:jc w:val="both"/>
        <w:rPr>
          <w:rFonts w:ascii="Arial" w:hAnsi="Arial" w:cs="Arial"/>
          <w:b/>
        </w:rPr>
      </w:pPr>
      <w:r w:rsidRPr="00F30F7A">
        <w:rPr>
          <w:rFonts w:ascii="Arial" w:hAnsi="Arial" w:cs="Arial"/>
          <w:b/>
        </w:rPr>
        <w:t>QUESTIONS AND AN</w:t>
      </w:r>
      <w:r w:rsidR="00C705DE">
        <w:rPr>
          <w:rFonts w:ascii="Arial" w:hAnsi="Arial" w:cs="Arial"/>
          <w:b/>
        </w:rPr>
        <w:t>S</w:t>
      </w:r>
      <w:r w:rsidRPr="00F30F7A">
        <w:rPr>
          <w:rFonts w:ascii="Arial" w:hAnsi="Arial" w:cs="Arial"/>
          <w:b/>
        </w:rPr>
        <w:t>WERS</w:t>
      </w:r>
      <w:r w:rsidR="00E62F22">
        <w:rPr>
          <w:rFonts w:ascii="Arial" w:hAnsi="Arial" w:cs="Arial"/>
          <w:b/>
        </w:rPr>
        <w:t xml:space="preserve"> </w:t>
      </w:r>
      <w:proofErr w:type="gramStart"/>
      <w:r w:rsidRPr="00F30F7A">
        <w:rPr>
          <w:rFonts w:ascii="Arial" w:hAnsi="Arial" w:cs="Arial"/>
          <w:b/>
        </w:rPr>
        <w:t>IN CONNECTION WITH</w:t>
      </w:r>
      <w:proofErr w:type="gramEnd"/>
      <w:r w:rsidRPr="00F30F7A">
        <w:rPr>
          <w:rFonts w:ascii="Arial" w:hAnsi="Arial" w:cs="Arial"/>
          <w:b/>
        </w:rPr>
        <w:t xml:space="preserve"> THE 30</w:t>
      </w:r>
      <w:r w:rsidRPr="00F30F7A">
        <w:rPr>
          <w:rFonts w:ascii="Arial" w:hAnsi="Arial" w:cs="Arial"/>
          <w:b/>
          <w:vertAlign w:val="superscript"/>
        </w:rPr>
        <w:t>TH</w:t>
      </w:r>
      <w:r w:rsidRPr="00F30F7A">
        <w:rPr>
          <w:rFonts w:ascii="Arial" w:hAnsi="Arial" w:cs="Arial"/>
          <w:b/>
        </w:rPr>
        <w:t xml:space="preserve"> OFFSHORE LICENSING ROUND</w:t>
      </w:r>
      <w:r w:rsidR="00E62F22">
        <w:rPr>
          <w:rFonts w:ascii="Arial" w:hAnsi="Arial" w:cs="Arial"/>
          <w:b/>
        </w:rPr>
        <w:t>.</w:t>
      </w:r>
    </w:p>
    <w:p w14:paraId="7EDDE25D" w14:textId="77777777" w:rsidR="00F30F7A" w:rsidRPr="00734439" w:rsidRDefault="00F30F7A" w:rsidP="00EA2340">
      <w:pPr>
        <w:jc w:val="both"/>
        <w:rPr>
          <w:rFonts w:ascii="Arial" w:hAnsi="Arial" w:cs="Arial"/>
        </w:rPr>
      </w:pPr>
    </w:p>
    <w:p w14:paraId="21421501" w14:textId="77777777" w:rsidR="00041245" w:rsidRPr="00734439" w:rsidRDefault="00AA2090" w:rsidP="00EA2340">
      <w:pPr>
        <w:jc w:val="both"/>
        <w:rPr>
          <w:rFonts w:ascii="Arial" w:hAnsi="Arial" w:cs="Arial"/>
        </w:rPr>
      </w:pPr>
      <w:r w:rsidRPr="00734439">
        <w:rPr>
          <w:rFonts w:ascii="Arial" w:hAnsi="Arial" w:cs="Arial"/>
        </w:rPr>
        <w:t xml:space="preserve">Questions raised by potential applicants concerning this Round for answer by </w:t>
      </w:r>
      <w:r w:rsidR="00940CEC">
        <w:rPr>
          <w:rFonts w:ascii="Arial" w:hAnsi="Arial" w:cs="Arial"/>
        </w:rPr>
        <w:t>the OGA</w:t>
      </w:r>
      <w:r w:rsidRPr="00734439">
        <w:rPr>
          <w:rFonts w:ascii="Arial" w:hAnsi="Arial" w:cs="Arial"/>
        </w:rPr>
        <w:t xml:space="preserve"> should be </w:t>
      </w:r>
      <w:r w:rsidR="00204141" w:rsidRPr="00734439">
        <w:rPr>
          <w:rFonts w:ascii="Arial" w:hAnsi="Arial" w:cs="Arial"/>
          <w:i/>
        </w:rPr>
        <w:t>emailed</w:t>
      </w:r>
      <w:r w:rsidRPr="00734439">
        <w:rPr>
          <w:rFonts w:ascii="Arial" w:hAnsi="Arial" w:cs="Arial"/>
        </w:rPr>
        <w:t xml:space="preserve"> to the contact</w:t>
      </w:r>
      <w:r w:rsidR="00E41CF9" w:rsidRPr="00734439">
        <w:rPr>
          <w:rFonts w:ascii="Arial" w:hAnsi="Arial" w:cs="Arial"/>
        </w:rPr>
        <w:t>s</w:t>
      </w:r>
      <w:r w:rsidRPr="00734439">
        <w:rPr>
          <w:rFonts w:ascii="Arial" w:hAnsi="Arial" w:cs="Arial"/>
        </w:rPr>
        <w:t xml:space="preserve"> below.  </w:t>
      </w:r>
      <w:r w:rsidR="00940CEC">
        <w:rPr>
          <w:rFonts w:ascii="Arial" w:hAnsi="Arial" w:cs="Arial"/>
        </w:rPr>
        <w:t>The OGA</w:t>
      </w:r>
      <w:r w:rsidRPr="00734439">
        <w:rPr>
          <w:rFonts w:ascii="Arial" w:hAnsi="Arial" w:cs="Arial"/>
        </w:rPr>
        <w:t xml:space="preserve"> will aim to post </w:t>
      </w:r>
      <w:r w:rsidR="002A7EFB">
        <w:rPr>
          <w:rFonts w:ascii="Arial" w:hAnsi="Arial" w:cs="Arial"/>
        </w:rPr>
        <w:t xml:space="preserve">any </w:t>
      </w:r>
      <w:r w:rsidR="002A7EFB">
        <w:rPr>
          <w:rFonts w:ascii="Arial" w:hAnsi="Arial" w:cs="Arial"/>
          <w:i/>
        </w:rPr>
        <w:t>new</w:t>
      </w:r>
      <w:r w:rsidRPr="00734439">
        <w:rPr>
          <w:rFonts w:ascii="Arial" w:hAnsi="Arial" w:cs="Arial"/>
        </w:rPr>
        <w:t xml:space="preserve"> question</w:t>
      </w:r>
      <w:r w:rsidR="002A7EFB">
        <w:rPr>
          <w:rFonts w:ascii="Arial" w:hAnsi="Arial" w:cs="Arial"/>
        </w:rPr>
        <w:t>s</w:t>
      </w:r>
      <w:r w:rsidRPr="00734439">
        <w:rPr>
          <w:rFonts w:ascii="Arial" w:hAnsi="Arial" w:cs="Arial"/>
        </w:rPr>
        <w:t xml:space="preserve"> and answer</w:t>
      </w:r>
      <w:r w:rsidR="002A7EFB">
        <w:rPr>
          <w:rFonts w:ascii="Arial" w:hAnsi="Arial" w:cs="Arial"/>
        </w:rPr>
        <w:t>s</w:t>
      </w:r>
      <w:r w:rsidRPr="00734439">
        <w:rPr>
          <w:rFonts w:ascii="Arial" w:hAnsi="Arial" w:cs="Arial"/>
        </w:rPr>
        <w:t xml:space="preserve"> within five working days on this page</w:t>
      </w:r>
      <w:r w:rsidR="00041245" w:rsidRPr="00734439">
        <w:rPr>
          <w:rFonts w:ascii="Arial" w:hAnsi="Arial" w:cs="Arial"/>
        </w:rPr>
        <w:t>.</w:t>
      </w:r>
    </w:p>
    <w:p w14:paraId="7F2C8DB8" w14:textId="77777777" w:rsidR="00041245" w:rsidRPr="00734439" w:rsidRDefault="00041245" w:rsidP="00EA2340">
      <w:pPr>
        <w:jc w:val="both"/>
        <w:rPr>
          <w:rFonts w:ascii="Arial" w:hAnsi="Arial" w:cs="Arial"/>
        </w:rPr>
      </w:pPr>
    </w:p>
    <w:p w14:paraId="6B45BB2F" w14:textId="77777777" w:rsidR="00AA2090" w:rsidRPr="00734439" w:rsidRDefault="00AA2090" w:rsidP="00EA2340">
      <w:pPr>
        <w:jc w:val="both"/>
        <w:rPr>
          <w:rFonts w:ascii="Arial" w:hAnsi="Arial" w:cs="Arial"/>
        </w:rPr>
      </w:pPr>
      <w:r w:rsidRPr="00734439">
        <w:rPr>
          <w:rFonts w:ascii="Arial" w:hAnsi="Arial" w:cs="Arial"/>
        </w:rPr>
        <w:t>Questions will only be answered in this way, to ensure that the same information is available to everyone at the same time</w:t>
      </w:r>
      <w:r w:rsidR="002A7EFB">
        <w:rPr>
          <w:rFonts w:ascii="Arial" w:hAnsi="Arial" w:cs="Arial"/>
        </w:rPr>
        <w:t>,</w:t>
      </w:r>
      <w:r w:rsidRPr="00734439">
        <w:rPr>
          <w:rFonts w:ascii="Arial" w:hAnsi="Arial" w:cs="Arial"/>
        </w:rPr>
        <w:t xml:space="preserve"> in the interests of a transparent and fair process.</w:t>
      </w:r>
    </w:p>
    <w:p w14:paraId="6D2AF747" w14:textId="77777777" w:rsidR="0019005E" w:rsidRPr="00734439" w:rsidRDefault="0019005E" w:rsidP="00EA2340">
      <w:pPr>
        <w:jc w:val="both"/>
        <w:rPr>
          <w:rFonts w:ascii="Arial" w:hAnsi="Arial" w:cs="Arial"/>
        </w:rPr>
      </w:pPr>
    </w:p>
    <w:p w14:paraId="245D4CB7" w14:textId="77777777" w:rsidR="00AA2090" w:rsidRPr="00734439" w:rsidRDefault="00327CEF" w:rsidP="00EA2340">
      <w:pPr>
        <w:autoSpaceDE w:val="0"/>
        <w:jc w:val="both"/>
        <w:rPr>
          <w:rFonts w:ascii="Arial" w:hAnsi="Arial" w:cs="Arial"/>
          <w:b/>
          <w:bCs/>
        </w:rPr>
      </w:pPr>
      <w:r w:rsidRPr="00734439">
        <w:rPr>
          <w:rFonts w:ascii="Arial" w:hAnsi="Arial" w:cs="Arial"/>
          <w:b/>
          <w:bCs/>
        </w:rPr>
        <w:t>Contacts to be e-mailed with your question</w:t>
      </w:r>
      <w:r w:rsidR="00AB0F9C" w:rsidRPr="00734439">
        <w:rPr>
          <w:rFonts w:ascii="Arial" w:hAnsi="Arial" w:cs="Arial"/>
          <w:b/>
          <w:bCs/>
        </w:rPr>
        <w:t>s</w:t>
      </w:r>
      <w:r w:rsidRPr="00734439">
        <w:rPr>
          <w:rFonts w:ascii="Arial" w:hAnsi="Arial" w:cs="Arial"/>
          <w:b/>
          <w:bCs/>
        </w:rPr>
        <w:t xml:space="preserve"> </w:t>
      </w:r>
      <w:r w:rsidRPr="00734439">
        <w:rPr>
          <w:rFonts w:ascii="Arial" w:hAnsi="Arial" w:cs="Arial"/>
          <w:b/>
          <w:bCs/>
          <w:i/>
        </w:rPr>
        <w:t>(</w:t>
      </w:r>
      <w:r w:rsidR="00337F36" w:rsidRPr="00734439">
        <w:rPr>
          <w:rFonts w:ascii="Arial" w:hAnsi="Arial" w:cs="Arial"/>
          <w:b/>
          <w:bCs/>
          <w:i/>
        </w:rPr>
        <w:t>p</w:t>
      </w:r>
      <w:r w:rsidRPr="00734439">
        <w:rPr>
          <w:rFonts w:ascii="Arial" w:hAnsi="Arial" w:cs="Arial"/>
          <w:b/>
          <w:bCs/>
          <w:i/>
        </w:rPr>
        <w:t xml:space="preserve">lease </w:t>
      </w:r>
      <w:r w:rsidR="00687046">
        <w:rPr>
          <w:rFonts w:ascii="Arial" w:hAnsi="Arial" w:cs="Arial"/>
          <w:b/>
          <w:bCs/>
          <w:i/>
        </w:rPr>
        <w:t xml:space="preserve">send to </w:t>
      </w:r>
      <w:r w:rsidRPr="00734439">
        <w:rPr>
          <w:rFonts w:ascii="Arial" w:hAnsi="Arial" w:cs="Arial"/>
          <w:b/>
          <w:bCs/>
          <w:i/>
        </w:rPr>
        <w:t xml:space="preserve">both contacts as this ensures your question </w:t>
      </w:r>
      <w:r w:rsidR="002A7EFB">
        <w:rPr>
          <w:rFonts w:ascii="Arial" w:hAnsi="Arial" w:cs="Arial"/>
          <w:b/>
          <w:bCs/>
          <w:i/>
        </w:rPr>
        <w:t>will be</w:t>
      </w:r>
      <w:r w:rsidRPr="00734439">
        <w:rPr>
          <w:rFonts w:ascii="Arial" w:hAnsi="Arial" w:cs="Arial"/>
          <w:b/>
          <w:bCs/>
          <w:i/>
        </w:rPr>
        <w:t xml:space="preserve"> dealt with quickly in the case of either contact not being in the office)</w:t>
      </w:r>
      <w:r w:rsidR="00610685">
        <w:rPr>
          <w:rFonts w:ascii="Arial" w:hAnsi="Arial" w:cs="Arial"/>
          <w:b/>
          <w:bCs/>
        </w:rPr>
        <w:t>:</w:t>
      </w:r>
      <w:r w:rsidRPr="00734439">
        <w:rPr>
          <w:rFonts w:ascii="Arial" w:hAnsi="Arial" w:cs="Arial"/>
          <w:b/>
          <w:bCs/>
        </w:rPr>
        <w:t xml:space="preserve"> </w:t>
      </w:r>
    </w:p>
    <w:p w14:paraId="2A54CDF1" w14:textId="77777777" w:rsidR="00AA2090" w:rsidRPr="00734439" w:rsidRDefault="00AA2090" w:rsidP="00EA2340">
      <w:pPr>
        <w:autoSpaceDE w:val="0"/>
        <w:jc w:val="both"/>
        <w:rPr>
          <w:rFonts w:ascii="Arial" w:hAnsi="Arial" w:cs="Arial"/>
        </w:rPr>
      </w:pPr>
    </w:p>
    <w:p w14:paraId="126D58A4" w14:textId="77777777" w:rsidR="00AA2090" w:rsidRPr="00734439" w:rsidRDefault="00327CEF" w:rsidP="00EA2340">
      <w:pPr>
        <w:autoSpaceDE w:val="0"/>
        <w:ind w:left="720"/>
        <w:jc w:val="both"/>
        <w:rPr>
          <w:rFonts w:ascii="Arial" w:hAnsi="Arial" w:cs="Arial"/>
        </w:rPr>
      </w:pPr>
      <w:r w:rsidRPr="00734439">
        <w:rPr>
          <w:rFonts w:ascii="Arial" w:hAnsi="Arial" w:cs="Arial"/>
        </w:rPr>
        <w:t xml:space="preserve">Jen Brzozowska </w:t>
      </w:r>
    </w:p>
    <w:p w14:paraId="07EE4700" w14:textId="77777777" w:rsidR="00AA2090" w:rsidRPr="00734439" w:rsidRDefault="00327CEF" w:rsidP="00EA2340">
      <w:pPr>
        <w:autoSpaceDE w:val="0"/>
        <w:ind w:left="720"/>
        <w:jc w:val="both"/>
        <w:rPr>
          <w:rFonts w:ascii="Arial" w:hAnsi="Arial" w:cs="Arial"/>
        </w:rPr>
      </w:pPr>
      <w:r w:rsidRPr="00734439">
        <w:rPr>
          <w:rFonts w:ascii="Arial" w:hAnsi="Arial" w:cs="Arial"/>
        </w:rPr>
        <w:t xml:space="preserve">Exploration Manager, </w:t>
      </w:r>
    </w:p>
    <w:p w14:paraId="5B26800C" w14:textId="77777777" w:rsidR="00AA2090" w:rsidRPr="00734439" w:rsidRDefault="00B43CB7" w:rsidP="00EA2340">
      <w:pPr>
        <w:autoSpaceDE w:val="0"/>
        <w:ind w:left="720"/>
        <w:jc w:val="both"/>
        <w:rPr>
          <w:rFonts w:ascii="Arial" w:hAnsi="Arial" w:cs="Arial"/>
        </w:rPr>
      </w:pPr>
      <w:hyperlink r:id="rId6" w:history="1">
        <w:r w:rsidR="004E5D6A" w:rsidRPr="002F76F1">
          <w:rPr>
            <w:rStyle w:val="Hyperlink"/>
            <w:rFonts w:ascii="Arial" w:hAnsi="Arial"/>
          </w:rPr>
          <w:t>Jen.Brzozowska@ogauthority.co.uk</w:t>
        </w:r>
      </w:hyperlink>
    </w:p>
    <w:p w14:paraId="6F0B3D46" w14:textId="77777777" w:rsidR="00AA2090" w:rsidRPr="00734439" w:rsidRDefault="00AA2090" w:rsidP="00EA2340">
      <w:pPr>
        <w:autoSpaceDE w:val="0"/>
        <w:jc w:val="both"/>
        <w:rPr>
          <w:rFonts w:ascii="Arial" w:hAnsi="Arial" w:cs="Arial"/>
        </w:rPr>
      </w:pPr>
    </w:p>
    <w:p w14:paraId="1D3A9C5F" w14:textId="77777777" w:rsidR="000F3871" w:rsidRPr="00734439" w:rsidRDefault="00327CEF" w:rsidP="00EA2340">
      <w:pPr>
        <w:autoSpaceDE w:val="0"/>
        <w:ind w:left="720"/>
        <w:jc w:val="both"/>
        <w:rPr>
          <w:rFonts w:ascii="Arial" w:hAnsi="Arial" w:cs="Arial"/>
        </w:rPr>
      </w:pPr>
      <w:r w:rsidRPr="00734439">
        <w:rPr>
          <w:rFonts w:ascii="Arial" w:hAnsi="Arial" w:cs="Arial"/>
        </w:rPr>
        <w:t>Ricki Kiff</w:t>
      </w:r>
    </w:p>
    <w:p w14:paraId="6C8D9863" w14:textId="77777777" w:rsidR="000F3871" w:rsidRPr="00734439" w:rsidRDefault="00327CEF" w:rsidP="00EA2340">
      <w:pPr>
        <w:autoSpaceDE w:val="0"/>
        <w:ind w:left="720"/>
        <w:jc w:val="both"/>
        <w:rPr>
          <w:rFonts w:ascii="Arial" w:hAnsi="Arial" w:cs="Arial"/>
        </w:rPr>
      </w:pPr>
      <w:r w:rsidRPr="00734439">
        <w:rPr>
          <w:rFonts w:ascii="Arial" w:hAnsi="Arial" w:cs="Arial"/>
        </w:rPr>
        <w:t xml:space="preserve">Licence Round Co-ordinator </w:t>
      </w:r>
    </w:p>
    <w:p w14:paraId="0F1C10CB" w14:textId="77777777" w:rsidR="000F3871" w:rsidRDefault="00B43CB7" w:rsidP="00EA2340">
      <w:pPr>
        <w:autoSpaceDE w:val="0"/>
        <w:ind w:left="720"/>
        <w:jc w:val="both"/>
        <w:rPr>
          <w:rFonts w:ascii="Arial" w:hAnsi="Arial" w:cs="Arial"/>
          <w:noProof/>
          <w:lang w:eastAsia="en-GB"/>
        </w:rPr>
      </w:pPr>
      <w:hyperlink r:id="rId7" w:history="1">
        <w:r w:rsidR="004E5D6A" w:rsidRPr="002F76F1">
          <w:rPr>
            <w:rStyle w:val="Hyperlink"/>
            <w:rFonts w:ascii="Arial" w:hAnsi="Arial" w:cs="Arial"/>
          </w:rPr>
          <w:t>Ricki.Kiff@</w:t>
        </w:r>
        <w:r w:rsidR="004E5D6A" w:rsidRPr="002F76F1">
          <w:rPr>
            <w:rStyle w:val="Hyperlink"/>
            <w:rFonts w:ascii="Arial" w:hAnsi="Arial" w:cs="Arial"/>
            <w:noProof/>
            <w:lang w:eastAsia="en-GB"/>
          </w:rPr>
          <w:t>ogauthority.co.uk</w:t>
        </w:r>
      </w:hyperlink>
    </w:p>
    <w:p w14:paraId="42BCF4EB" w14:textId="77777777" w:rsidR="004E5D6A" w:rsidRPr="004E5D6A" w:rsidRDefault="004E5D6A" w:rsidP="00EA2340">
      <w:pPr>
        <w:autoSpaceDE w:val="0"/>
        <w:ind w:left="720"/>
        <w:jc w:val="both"/>
        <w:rPr>
          <w:rFonts w:ascii="Arial" w:hAnsi="Arial" w:cs="Arial"/>
          <w:noProof/>
          <w:lang w:eastAsia="en-GB"/>
        </w:rPr>
      </w:pPr>
    </w:p>
    <w:p w14:paraId="660CA58C" w14:textId="77777777" w:rsidR="004E5D6A" w:rsidRDefault="004E5D6A" w:rsidP="00EA2340">
      <w:pPr>
        <w:autoSpaceDE w:val="0"/>
        <w:ind w:left="720"/>
        <w:jc w:val="both"/>
        <w:rPr>
          <w:rStyle w:val="Hyperlink"/>
          <w:rFonts w:ascii="Arial" w:hAnsi="Arial" w:cs="Arial"/>
          <w:color w:val="auto"/>
        </w:rPr>
      </w:pPr>
    </w:p>
    <w:p w14:paraId="0E37E552" w14:textId="77777777" w:rsidR="00CF05EB" w:rsidRDefault="00CF05EB" w:rsidP="00EA2340">
      <w:pPr>
        <w:autoSpaceDE w:val="0"/>
        <w:ind w:left="720"/>
        <w:jc w:val="both"/>
        <w:rPr>
          <w:rStyle w:val="Hyperlink"/>
          <w:rFonts w:ascii="Arial" w:hAnsi="Arial" w:cs="Arial"/>
          <w:color w:val="auto"/>
        </w:rPr>
      </w:pPr>
    </w:p>
    <w:p w14:paraId="11653F20" w14:textId="77777777" w:rsidR="00AE6F47" w:rsidRDefault="00EB2848" w:rsidP="00EA2340">
      <w:pPr>
        <w:pBdr>
          <w:bottom w:val="single" w:sz="4" w:space="1" w:color="auto"/>
        </w:pBdr>
        <w:jc w:val="both"/>
        <w:rPr>
          <w:rFonts w:ascii="Arial" w:hAnsi="Arial" w:cs="Arial"/>
        </w:rPr>
      </w:pPr>
      <w:r w:rsidRPr="0022461C">
        <w:rPr>
          <w:rFonts w:ascii="Arial" w:hAnsi="Arial" w:cs="Arial"/>
        </w:rPr>
        <w:t xml:space="preserve">Questions regarding </w:t>
      </w:r>
      <w:r w:rsidRPr="00AE6F47">
        <w:rPr>
          <w:rFonts w:ascii="Arial" w:hAnsi="Arial" w:cs="Arial"/>
          <w:u w:val="single"/>
        </w:rPr>
        <w:t>LARRY</w:t>
      </w:r>
      <w:r w:rsidRPr="0022461C">
        <w:rPr>
          <w:rFonts w:ascii="Arial" w:hAnsi="Arial" w:cs="Arial"/>
        </w:rPr>
        <w:t xml:space="preserve"> should </w:t>
      </w:r>
      <w:r>
        <w:rPr>
          <w:rFonts w:ascii="Arial" w:hAnsi="Arial" w:cs="Arial"/>
        </w:rPr>
        <w:t xml:space="preserve">be directed </w:t>
      </w:r>
      <w:r w:rsidR="0069563A">
        <w:rPr>
          <w:rFonts w:ascii="Arial" w:hAnsi="Arial" w:cs="Arial"/>
        </w:rPr>
        <w:t xml:space="preserve">initially </w:t>
      </w:r>
      <w:r>
        <w:rPr>
          <w:rFonts w:ascii="Arial" w:hAnsi="Arial" w:cs="Arial"/>
        </w:rPr>
        <w:t xml:space="preserve">to the </w:t>
      </w:r>
      <w:r w:rsidRPr="00AE6F47">
        <w:rPr>
          <w:rFonts w:ascii="Arial" w:hAnsi="Arial" w:cs="Arial"/>
          <w:u w:val="single"/>
        </w:rPr>
        <w:t>Portal Help Desk</w:t>
      </w:r>
      <w:r>
        <w:rPr>
          <w:rFonts w:ascii="Arial" w:hAnsi="Arial" w:cs="Arial"/>
        </w:rPr>
        <w:t>.</w:t>
      </w:r>
    </w:p>
    <w:p w14:paraId="74337B46" w14:textId="77777777" w:rsidR="00AE6F47" w:rsidRDefault="00AE6F47" w:rsidP="00EA2340">
      <w:pPr>
        <w:pBdr>
          <w:bottom w:val="single" w:sz="4" w:space="1" w:color="auto"/>
        </w:pBdr>
        <w:jc w:val="both"/>
        <w:rPr>
          <w:rFonts w:ascii="Arial" w:hAnsi="Arial" w:cs="Arial"/>
        </w:rPr>
      </w:pPr>
    </w:p>
    <w:p w14:paraId="760D25A9" w14:textId="77777777" w:rsidR="00687046" w:rsidRDefault="00687046" w:rsidP="00EA2340">
      <w:pPr>
        <w:pBdr>
          <w:bottom w:val="single" w:sz="4" w:space="1" w:color="auto"/>
        </w:pBdr>
        <w:jc w:val="both"/>
        <w:rPr>
          <w:rFonts w:ascii="Arial" w:hAnsi="Arial" w:cs="Arial"/>
        </w:rPr>
      </w:pPr>
    </w:p>
    <w:p w14:paraId="716AC0B3" w14:textId="77777777" w:rsidR="00687046" w:rsidRPr="00687046" w:rsidRDefault="00687046" w:rsidP="00687046">
      <w:pPr>
        <w:pBdr>
          <w:bottom w:val="single" w:sz="4" w:space="1" w:color="auto"/>
        </w:pBdr>
        <w:ind w:firstLine="720"/>
        <w:jc w:val="both"/>
        <w:rPr>
          <w:rFonts w:ascii="Arial" w:hAnsi="Arial" w:cs="Arial"/>
        </w:rPr>
      </w:pPr>
      <w:r w:rsidRPr="00687046">
        <w:rPr>
          <w:rFonts w:ascii="Arial" w:hAnsi="Arial" w:cs="Arial"/>
        </w:rPr>
        <w:t>LARRY Queries – Portal Helpdesk</w:t>
      </w:r>
    </w:p>
    <w:p w14:paraId="276F7A0E" w14:textId="77777777" w:rsidR="00687046" w:rsidRPr="00687046" w:rsidRDefault="00687046" w:rsidP="00687046">
      <w:pPr>
        <w:pBdr>
          <w:bottom w:val="single" w:sz="4" w:space="1" w:color="auto"/>
        </w:pBdr>
        <w:ind w:firstLine="720"/>
        <w:jc w:val="both"/>
        <w:rPr>
          <w:rFonts w:ascii="Arial" w:hAnsi="Arial" w:cs="Arial"/>
        </w:rPr>
      </w:pPr>
      <w:r w:rsidRPr="00687046">
        <w:rPr>
          <w:rFonts w:ascii="Arial" w:hAnsi="Arial" w:cs="Arial"/>
        </w:rPr>
        <w:t>Tel: 0300 067 1682</w:t>
      </w:r>
    </w:p>
    <w:p w14:paraId="7AAA3BA1" w14:textId="77777777" w:rsidR="00687046" w:rsidRDefault="00687046" w:rsidP="00687046">
      <w:pPr>
        <w:pBdr>
          <w:bottom w:val="single" w:sz="4" w:space="1" w:color="auto"/>
        </w:pBdr>
        <w:ind w:firstLine="720"/>
        <w:jc w:val="both"/>
        <w:rPr>
          <w:rFonts w:ascii="Arial" w:hAnsi="Arial" w:cs="Arial"/>
        </w:rPr>
      </w:pPr>
      <w:r w:rsidRPr="00687046">
        <w:rPr>
          <w:rFonts w:ascii="Arial" w:hAnsi="Arial" w:cs="Arial"/>
        </w:rPr>
        <w:t xml:space="preserve">Email: </w:t>
      </w:r>
      <w:hyperlink r:id="rId8" w:history="1">
        <w:r w:rsidRPr="007C0452">
          <w:rPr>
            <w:rStyle w:val="Hyperlink"/>
            <w:rFonts w:ascii="Arial" w:hAnsi="Arial" w:cs="Arial"/>
          </w:rPr>
          <w:t>ukop@ogauthority.co.uk</w:t>
        </w:r>
      </w:hyperlink>
    </w:p>
    <w:p w14:paraId="6FBE99CE" w14:textId="77777777" w:rsidR="00687046" w:rsidRDefault="00687046" w:rsidP="00EA2340">
      <w:pPr>
        <w:pBdr>
          <w:bottom w:val="single" w:sz="4" w:space="1" w:color="auto"/>
        </w:pBdr>
        <w:jc w:val="both"/>
        <w:rPr>
          <w:rFonts w:ascii="Arial" w:hAnsi="Arial" w:cs="Arial"/>
        </w:rPr>
      </w:pPr>
    </w:p>
    <w:p w14:paraId="7E1F59A9" w14:textId="77777777" w:rsidR="002A7EFB" w:rsidRPr="002A7EFB" w:rsidRDefault="002A7EFB" w:rsidP="00EA2340">
      <w:pPr>
        <w:pBdr>
          <w:bottom w:val="single" w:sz="4" w:space="1" w:color="auto"/>
        </w:pBdr>
        <w:jc w:val="both"/>
        <w:rPr>
          <w:rFonts w:ascii="Arial" w:hAnsi="Arial" w:cs="Arial"/>
          <w:b/>
          <w:color w:val="FF0000"/>
        </w:rPr>
      </w:pPr>
    </w:p>
    <w:p w14:paraId="13BFA2E8" w14:textId="77777777" w:rsidR="00610685" w:rsidRDefault="00610685" w:rsidP="00EA2340">
      <w:pPr>
        <w:jc w:val="both"/>
        <w:rPr>
          <w:rFonts w:ascii="Arial" w:hAnsi="Arial" w:cs="Arial"/>
          <w:b/>
          <w:color w:val="FF0000"/>
        </w:rPr>
      </w:pPr>
    </w:p>
    <w:p w14:paraId="39D95129" w14:textId="77777777" w:rsidR="00223690" w:rsidRPr="00734439" w:rsidRDefault="00223690" w:rsidP="00EA2340">
      <w:pPr>
        <w:jc w:val="both"/>
        <w:rPr>
          <w:rFonts w:ascii="Arial" w:hAnsi="Arial" w:cs="Arial"/>
        </w:rPr>
      </w:pPr>
      <w:r w:rsidRPr="00734439">
        <w:rPr>
          <w:rFonts w:ascii="Arial" w:hAnsi="Arial" w:cs="Arial"/>
        </w:rPr>
        <w:t xml:space="preserve">Questions and Answers </w:t>
      </w:r>
      <w:r>
        <w:rPr>
          <w:rFonts w:ascii="Arial" w:hAnsi="Arial" w:cs="Arial"/>
        </w:rPr>
        <w:t>will</w:t>
      </w:r>
      <w:r w:rsidRPr="00734439">
        <w:rPr>
          <w:rFonts w:ascii="Arial" w:hAnsi="Arial" w:cs="Arial"/>
        </w:rPr>
        <w:t xml:space="preserve"> be split into </w:t>
      </w:r>
      <w:r w:rsidR="00A838EB">
        <w:rPr>
          <w:rFonts w:ascii="Arial" w:hAnsi="Arial" w:cs="Arial"/>
        </w:rPr>
        <w:t>two</w:t>
      </w:r>
      <w:r w:rsidRPr="00734439">
        <w:rPr>
          <w:rFonts w:ascii="Arial" w:hAnsi="Arial" w:cs="Arial"/>
        </w:rPr>
        <w:t xml:space="preserve"> sections; </w:t>
      </w:r>
      <w:r>
        <w:rPr>
          <w:rFonts w:ascii="Arial" w:hAnsi="Arial" w:cs="Arial"/>
        </w:rPr>
        <w:t>one</w:t>
      </w:r>
      <w:r w:rsidRPr="00734439">
        <w:rPr>
          <w:rFonts w:ascii="Arial" w:hAnsi="Arial" w:cs="Arial"/>
        </w:rPr>
        <w:t xml:space="preserve"> section </w:t>
      </w:r>
      <w:r>
        <w:rPr>
          <w:rFonts w:ascii="Arial" w:hAnsi="Arial" w:cs="Arial"/>
        </w:rPr>
        <w:t xml:space="preserve">will </w:t>
      </w:r>
      <w:r w:rsidRPr="00734439">
        <w:rPr>
          <w:rFonts w:ascii="Arial" w:hAnsi="Arial" w:cs="Arial"/>
        </w:rPr>
        <w:t xml:space="preserve">relate to </w:t>
      </w:r>
      <w:hyperlink w:anchor="Policy" w:history="1">
        <w:r w:rsidRPr="00734439">
          <w:rPr>
            <w:rStyle w:val="Hyperlink"/>
            <w:rFonts w:ascii="Arial" w:hAnsi="Arial" w:cs="Arial"/>
            <w:color w:val="auto"/>
          </w:rPr>
          <w:t>Policy</w:t>
        </w:r>
      </w:hyperlink>
      <w:r w:rsidRPr="00734439">
        <w:rPr>
          <w:rFonts w:ascii="Arial" w:hAnsi="Arial" w:cs="Arial"/>
        </w:rPr>
        <w:t xml:space="preserve"> issues around the Licence Round</w:t>
      </w:r>
      <w:r w:rsidR="00A838EB">
        <w:rPr>
          <w:rFonts w:ascii="Arial" w:hAnsi="Arial" w:cs="Arial"/>
        </w:rPr>
        <w:t>; the other relates</w:t>
      </w:r>
      <w:r w:rsidRPr="00734439">
        <w:rPr>
          <w:rFonts w:ascii="Arial" w:hAnsi="Arial" w:cs="Arial"/>
        </w:rPr>
        <w:t xml:space="preserve"> to </w:t>
      </w:r>
      <w:r w:rsidR="00A838EB">
        <w:rPr>
          <w:rFonts w:ascii="Arial" w:hAnsi="Arial" w:cs="Arial"/>
        </w:rPr>
        <w:t>the</w:t>
      </w:r>
      <w:r w:rsidRPr="00734439">
        <w:rPr>
          <w:rFonts w:ascii="Arial" w:hAnsi="Arial" w:cs="Arial"/>
        </w:rPr>
        <w:t xml:space="preserve"> </w:t>
      </w:r>
      <w:hyperlink w:anchor="LARRY" w:history="1">
        <w:r w:rsidRPr="00734439">
          <w:rPr>
            <w:rStyle w:val="Hyperlink"/>
            <w:rFonts w:ascii="Arial" w:hAnsi="Arial" w:cs="Arial"/>
            <w:color w:val="auto"/>
          </w:rPr>
          <w:t>LARRY</w:t>
        </w:r>
      </w:hyperlink>
      <w:r w:rsidRPr="00734439">
        <w:rPr>
          <w:rFonts w:ascii="Arial" w:hAnsi="Arial" w:cs="Arial"/>
        </w:rPr>
        <w:t xml:space="preserve"> system</w:t>
      </w:r>
      <w:r>
        <w:rPr>
          <w:rFonts w:ascii="Arial" w:hAnsi="Arial" w:cs="Arial"/>
        </w:rPr>
        <w:t>.</w:t>
      </w:r>
    </w:p>
    <w:p w14:paraId="610B522E" w14:textId="77777777" w:rsidR="00223690" w:rsidRDefault="00223690" w:rsidP="00EA2340">
      <w:pPr>
        <w:jc w:val="both"/>
        <w:rPr>
          <w:rFonts w:ascii="Arial" w:hAnsi="Arial" w:cs="Arial"/>
          <w:b/>
        </w:rPr>
      </w:pPr>
    </w:p>
    <w:p w14:paraId="0A5CA913" w14:textId="77777777" w:rsidR="006C3B90" w:rsidRPr="00734439" w:rsidRDefault="006C3B90" w:rsidP="00EA2340">
      <w:pPr>
        <w:jc w:val="both"/>
        <w:rPr>
          <w:rFonts w:ascii="Arial" w:hAnsi="Arial" w:cs="Arial"/>
        </w:rPr>
      </w:pPr>
      <w:r w:rsidRPr="00734439">
        <w:rPr>
          <w:rFonts w:ascii="Arial" w:hAnsi="Arial" w:cs="Arial"/>
        </w:rPr>
        <w:t xml:space="preserve">To view a new Q &amp; A, scroll to the </w:t>
      </w:r>
      <w:r w:rsidRPr="006C3B90">
        <w:rPr>
          <w:rFonts w:ascii="Arial" w:hAnsi="Arial" w:cs="Arial"/>
          <w:i/>
        </w:rPr>
        <w:t>end</w:t>
      </w:r>
      <w:r w:rsidRPr="00734439">
        <w:rPr>
          <w:rFonts w:ascii="Arial" w:hAnsi="Arial" w:cs="Arial"/>
        </w:rPr>
        <w:t xml:space="preserve"> of the relevant section.</w:t>
      </w:r>
    </w:p>
    <w:p w14:paraId="1FCEE2C5" w14:textId="77777777" w:rsidR="006C3B90" w:rsidRDefault="006C3B90" w:rsidP="00EA2340">
      <w:pPr>
        <w:jc w:val="both"/>
        <w:rPr>
          <w:rFonts w:ascii="Arial" w:hAnsi="Arial" w:cs="Arial"/>
          <w:b/>
        </w:rPr>
      </w:pPr>
    </w:p>
    <w:p w14:paraId="5EDE6121" w14:textId="77777777" w:rsidR="006C3B90" w:rsidRDefault="006C3B90" w:rsidP="00EA2340">
      <w:pPr>
        <w:jc w:val="both"/>
        <w:rPr>
          <w:rFonts w:ascii="Arial" w:hAnsi="Arial" w:cs="Arial"/>
        </w:rPr>
      </w:pPr>
      <w:r>
        <w:rPr>
          <w:rFonts w:ascii="Arial" w:hAnsi="Arial" w:cs="Arial"/>
          <w:b/>
          <w:u w:val="single"/>
        </w:rPr>
        <w:t>Policy</w:t>
      </w:r>
    </w:p>
    <w:p w14:paraId="1441065C" w14:textId="77777777" w:rsidR="00084AE4" w:rsidRDefault="00084AE4" w:rsidP="00EA2340">
      <w:pPr>
        <w:jc w:val="both"/>
        <w:rPr>
          <w:rFonts w:ascii="Arial" w:hAnsi="Arial" w:cs="Arial"/>
        </w:rPr>
      </w:pPr>
    </w:p>
    <w:p w14:paraId="1D9DA2F5" w14:textId="77777777" w:rsidR="00290744" w:rsidRPr="00290744" w:rsidRDefault="00290744" w:rsidP="00290744">
      <w:pPr>
        <w:pStyle w:val="PlainText"/>
        <w:rPr>
          <w:rFonts w:ascii="Arial" w:hAnsi="Arial" w:cs="Arial"/>
          <w:b/>
          <w:bCs/>
        </w:rPr>
      </w:pPr>
    </w:p>
    <w:p w14:paraId="438158EF" w14:textId="77777777" w:rsidR="00687046" w:rsidRDefault="00687046" w:rsidP="00290744">
      <w:pPr>
        <w:pStyle w:val="PlainText"/>
        <w:rPr>
          <w:rFonts w:ascii="Arial" w:hAnsi="Arial" w:cs="Arial"/>
          <w:b/>
        </w:rPr>
      </w:pPr>
    </w:p>
    <w:p w14:paraId="543DB10C" w14:textId="77777777" w:rsidR="00D94022" w:rsidRDefault="00D94022" w:rsidP="00D94022">
      <w:pPr>
        <w:rPr>
          <w:rFonts w:ascii="Arial" w:hAnsi="Arial" w:cs="Arial"/>
          <w:b/>
          <w:bCs/>
        </w:rPr>
      </w:pPr>
      <w:r>
        <w:rPr>
          <w:rFonts w:ascii="Arial" w:hAnsi="Arial" w:cs="Arial"/>
          <w:b/>
          <w:bCs/>
        </w:rPr>
        <w:t>PQ1. When will awards be announced in the 30</w:t>
      </w:r>
      <w:r>
        <w:rPr>
          <w:rFonts w:ascii="Arial" w:hAnsi="Arial" w:cs="Arial"/>
          <w:b/>
          <w:bCs/>
          <w:vertAlign w:val="superscript"/>
        </w:rPr>
        <w:t>th</w:t>
      </w:r>
      <w:r>
        <w:rPr>
          <w:rFonts w:ascii="Arial" w:hAnsi="Arial" w:cs="Arial"/>
          <w:b/>
          <w:bCs/>
        </w:rPr>
        <w:t xml:space="preserve"> Offshore Licensing Round?</w:t>
      </w:r>
    </w:p>
    <w:p w14:paraId="5DBE0C99" w14:textId="77777777" w:rsidR="00D94022" w:rsidRDefault="00D94022" w:rsidP="00D94022">
      <w:pPr>
        <w:rPr>
          <w:rFonts w:ascii="Arial" w:hAnsi="Arial" w:cs="Arial"/>
        </w:rPr>
      </w:pPr>
    </w:p>
    <w:p w14:paraId="5EF6315B" w14:textId="77777777" w:rsidR="00D94022" w:rsidRDefault="00D94022" w:rsidP="00D94022">
      <w:pPr>
        <w:rPr>
          <w:rFonts w:ascii="Arial" w:hAnsi="Arial" w:cs="Arial"/>
        </w:rPr>
      </w:pPr>
      <w:r>
        <w:rPr>
          <w:rFonts w:ascii="Arial" w:hAnsi="Arial" w:cs="Arial"/>
        </w:rPr>
        <w:t xml:space="preserve">PA2. Decisions are expected to be made in Q2 2018. However, this will depend in part on how many applications we receive and progress on other processes that </w:t>
      </w:r>
      <w:proofErr w:type="gramStart"/>
      <w:r>
        <w:rPr>
          <w:rFonts w:ascii="Arial" w:hAnsi="Arial" w:cs="Arial"/>
        </w:rPr>
        <w:t>have to</w:t>
      </w:r>
      <w:proofErr w:type="gramEnd"/>
      <w:r>
        <w:rPr>
          <w:rFonts w:ascii="Arial" w:hAnsi="Arial" w:cs="Arial"/>
        </w:rPr>
        <w:t xml:space="preserve"> be gone through including environmental clearances. </w:t>
      </w:r>
    </w:p>
    <w:p w14:paraId="25D05FDB" w14:textId="77777777" w:rsidR="008A3DE3" w:rsidRDefault="008A3DE3" w:rsidP="00EA2340">
      <w:pPr>
        <w:jc w:val="both"/>
        <w:rPr>
          <w:rFonts w:ascii="Arial" w:hAnsi="Arial" w:cs="Arial"/>
          <w:b/>
          <w:u w:val="single"/>
        </w:rPr>
      </w:pPr>
    </w:p>
    <w:p w14:paraId="45FA0856" w14:textId="77777777" w:rsidR="00E62F22" w:rsidRPr="00B8629D" w:rsidRDefault="00E62F22" w:rsidP="00E62F22">
      <w:pPr>
        <w:rPr>
          <w:rFonts w:ascii="Arial" w:hAnsi="Arial" w:cs="Arial"/>
          <w:bCs/>
        </w:rPr>
      </w:pPr>
      <w:r>
        <w:rPr>
          <w:rFonts w:ascii="Arial" w:hAnsi="Arial" w:cs="Arial"/>
          <w:b/>
          <w:bCs/>
        </w:rPr>
        <w:t xml:space="preserve">PQ2. </w:t>
      </w:r>
      <w:r w:rsidRPr="00B8629D">
        <w:rPr>
          <w:rFonts w:ascii="Arial" w:hAnsi="Arial" w:cs="Arial"/>
          <w:b/>
          <w:bCs/>
        </w:rPr>
        <w:t>INFORMATION BULETIN:</w:t>
      </w:r>
      <w:r>
        <w:rPr>
          <w:rFonts w:ascii="Arial" w:hAnsi="Arial" w:cs="Arial"/>
          <w:b/>
          <w:bCs/>
        </w:rPr>
        <w:t xml:space="preserve"> </w:t>
      </w:r>
      <w:r w:rsidRPr="00B8629D">
        <w:rPr>
          <w:rFonts w:ascii="Arial" w:hAnsi="Arial" w:cs="Arial"/>
          <w:bCs/>
        </w:rPr>
        <w:t>EXTRA BLOCKS ADDED TO THE 30</w:t>
      </w:r>
      <w:r w:rsidRPr="00B8629D">
        <w:rPr>
          <w:rFonts w:ascii="Arial" w:hAnsi="Arial" w:cs="Arial"/>
          <w:bCs/>
          <w:vertAlign w:val="superscript"/>
        </w:rPr>
        <w:t>TH</w:t>
      </w:r>
      <w:r w:rsidRPr="00B8629D">
        <w:rPr>
          <w:rFonts w:ascii="Arial" w:hAnsi="Arial" w:cs="Arial"/>
          <w:bCs/>
        </w:rPr>
        <w:t xml:space="preserve"> ROUND OFFER</w:t>
      </w:r>
    </w:p>
    <w:p w14:paraId="241E926D" w14:textId="77777777" w:rsidR="00E62F22" w:rsidRDefault="00E62F22" w:rsidP="00E62F22">
      <w:pPr>
        <w:rPr>
          <w:rFonts w:ascii="Arial" w:hAnsi="Arial" w:cs="Arial"/>
        </w:rPr>
      </w:pPr>
    </w:p>
    <w:p w14:paraId="43E42881" w14:textId="77777777" w:rsidR="00E62F22" w:rsidRDefault="00E62F22" w:rsidP="00E62F22">
      <w:pPr>
        <w:jc w:val="both"/>
        <w:rPr>
          <w:rFonts w:ascii="Arial" w:hAnsi="Arial" w:cs="Arial"/>
          <w:b/>
          <w:u w:val="single"/>
        </w:rPr>
      </w:pPr>
      <w:r>
        <w:rPr>
          <w:rFonts w:ascii="Arial" w:hAnsi="Arial" w:cs="Arial"/>
        </w:rPr>
        <w:t xml:space="preserve">PA2. Please be aware the seven </w:t>
      </w:r>
      <w:r w:rsidR="00576F37">
        <w:rPr>
          <w:rFonts w:ascii="Arial" w:hAnsi="Arial" w:cs="Arial"/>
        </w:rPr>
        <w:t>B</w:t>
      </w:r>
      <w:r>
        <w:rPr>
          <w:rFonts w:ascii="Arial" w:hAnsi="Arial" w:cs="Arial"/>
        </w:rPr>
        <w:t xml:space="preserve">locks </w:t>
      </w:r>
      <w:r w:rsidR="00576F37">
        <w:rPr>
          <w:rFonts w:ascii="Arial" w:hAnsi="Arial" w:cs="Arial"/>
        </w:rPr>
        <w:t xml:space="preserve">below </w:t>
      </w:r>
      <w:r>
        <w:rPr>
          <w:rFonts w:ascii="Arial" w:hAnsi="Arial" w:cs="Arial"/>
        </w:rPr>
        <w:t>have been added to the 30</w:t>
      </w:r>
      <w:r w:rsidRPr="00E62F22">
        <w:rPr>
          <w:rFonts w:ascii="Arial" w:hAnsi="Arial" w:cs="Arial"/>
          <w:vertAlign w:val="superscript"/>
        </w:rPr>
        <w:t>th</w:t>
      </w:r>
      <w:r>
        <w:rPr>
          <w:rFonts w:ascii="Arial" w:hAnsi="Arial" w:cs="Arial"/>
        </w:rPr>
        <w:t xml:space="preserve"> Round offer. The </w:t>
      </w:r>
      <w:r w:rsidR="00576F37">
        <w:rPr>
          <w:rFonts w:ascii="Arial" w:hAnsi="Arial" w:cs="Arial"/>
        </w:rPr>
        <w:t>B</w:t>
      </w:r>
      <w:r>
        <w:rPr>
          <w:rFonts w:ascii="Arial" w:hAnsi="Arial" w:cs="Arial"/>
        </w:rPr>
        <w:t>locks were not in</w:t>
      </w:r>
      <w:r w:rsidR="00576F37">
        <w:rPr>
          <w:rFonts w:ascii="Arial" w:hAnsi="Arial" w:cs="Arial"/>
        </w:rPr>
        <w:t>i</w:t>
      </w:r>
      <w:r>
        <w:rPr>
          <w:rFonts w:ascii="Arial" w:hAnsi="Arial" w:cs="Arial"/>
        </w:rPr>
        <w:t xml:space="preserve">tially on offer pending </w:t>
      </w:r>
      <w:r w:rsidR="00576F37">
        <w:rPr>
          <w:rFonts w:ascii="Arial" w:hAnsi="Arial" w:cs="Arial"/>
        </w:rPr>
        <w:t xml:space="preserve">clarification of boundary lines between the Landward and Seaward licensing regimes. </w:t>
      </w:r>
      <w:r>
        <w:rPr>
          <w:rFonts w:ascii="Arial" w:hAnsi="Arial" w:cs="Arial"/>
        </w:rPr>
        <w:t xml:space="preserve"> </w:t>
      </w:r>
      <w:r w:rsidR="00576F37">
        <w:rPr>
          <w:rFonts w:ascii="Arial" w:hAnsi="Arial" w:cs="Arial"/>
        </w:rPr>
        <w:t>This issue has now been resolved.</w:t>
      </w:r>
      <w:r>
        <w:rPr>
          <w:rFonts w:ascii="Arial" w:hAnsi="Arial" w:cs="Arial"/>
        </w:rPr>
        <w:t xml:space="preserve">  </w:t>
      </w:r>
    </w:p>
    <w:p w14:paraId="22F2AC97" w14:textId="77777777" w:rsidR="008A3DE3" w:rsidRDefault="008A3DE3" w:rsidP="00EA2340">
      <w:pPr>
        <w:jc w:val="both"/>
        <w:rPr>
          <w:rFonts w:ascii="Arial" w:hAnsi="Arial" w:cs="Arial"/>
          <w:b/>
          <w:u w:val="single"/>
        </w:rPr>
      </w:pPr>
    </w:p>
    <w:p w14:paraId="52D3DA85" w14:textId="77777777" w:rsidR="00576F37" w:rsidRPr="00DB3BED" w:rsidRDefault="00576F37" w:rsidP="00576F37">
      <w:pPr>
        <w:rPr>
          <w:rFonts w:ascii="Arial" w:hAnsi="Arial" w:cs="Arial"/>
        </w:rPr>
      </w:pPr>
      <w:r w:rsidRPr="00DB3BED">
        <w:rPr>
          <w:rFonts w:ascii="Arial" w:hAnsi="Arial" w:cs="Arial"/>
        </w:rPr>
        <w:t>110/5</w:t>
      </w:r>
    </w:p>
    <w:p w14:paraId="24730CF7" w14:textId="77777777" w:rsidR="00576F37" w:rsidRPr="00DB3BED" w:rsidRDefault="00576F37" w:rsidP="00576F37">
      <w:pPr>
        <w:rPr>
          <w:rFonts w:ascii="Arial" w:hAnsi="Arial" w:cs="Arial"/>
        </w:rPr>
      </w:pPr>
      <w:r w:rsidRPr="00DB3BED">
        <w:rPr>
          <w:rFonts w:ascii="Arial" w:hAnsi="Arial" w:cs="Arial"/>
        </w:rPr>
        <w:t>110/10</w:t>
      </w:r>
    </w:p>
    <w:p w14:paraId="6CC521BD" w14:textId="77777777" w:rsidR="00576F37" w:rsidRPr="00DB3BED" w:rsidRDefault="00576F37" w:rsidP="00576F37">
      <w:pPr>
        <w:rPr>
          <w:rFonts w:ascii="Arial" w:hAnsi="Arial" w:cs="Arial"/>
        </w:rPr>
      </w:pPr>
      <w:r w:rsidRPr="00DB3BED">
        <w:rPr>
          <w:rFonts w:ascii="Arial" w:hAnsi="Arial" w:cs="Arial"/>
        </w:rPr>
        <w:t>110/16</w:t>
      </w:r>
    </w:p>
    <w:p w14:paraId="61AC50D6" w14:textId="77777777" w:rsidR="00576F37" w:rsidRPr="00DB3BED" w:rsidRDefault="00576F37" w:rsidP="00576F37">
      <w:pPr>
        <w:rPr>
          <w:rFonts w:ascii="Arial" w:hAnsi="Arial" w:cs="Arial"/>
        </w:rPr>
      </w:pPr>
      <w:r w:rsidRPr="00DB3BED">
        <w:rPr>
          <w:rFonts w:ascii="Arial" w:hAnsi="Arial" w:cs="Arial"/>
        </w:rPr>
        <w:t>110/18</w:t>
      </w:r>
    </w:p>
    <w:p w14:paraId="2AA60147" w14:textId="77777777" w:rsidR="00576F37" w:rsidRPr="00DB3BED" w:rsidRDefault="00576F37" w:rsidP="00576F37">
      <w:pPr>
        <w:rPr>
          <w:rFonts w:ascii="Arial" w:hAnsi="Arial" w:cs="Arial"/>
        </w:rPr>
      </w:pPr>
      <w:r w:rsidRPr="00DB3BED">
        <w:rPr>
          <w:rFonts w:ascii="Arial" w:hAnsi="Arial" w:cs="Arial"/>
        </w:rPr>
        <w:t>113/24</w:t>
      </w:r>
    </w:p>
    <w:p w14:paraId="3D8BCAF9" w14:textId="77777777" w:rsidR="00576F37" w:rsidRPr="00DB3BED" w:rsidRDefault="00576F37" w:rsidP="00576F37">
      <w:pPr>
        <w:rPr>
          <w:rFonts w:ascii="Arial" w:hAnsi="Arial" w:cs="Arial"/>
        </w:rPr>
      </w:pPr>
      <w:r w:rsidRPr="00DB3BED">
        <w:rPr>
          <w:rFonts w:ascii="Arial" w:hAnsi="Arial" w:cs="Arial"/>
        </w:rPr>
        <w:t>113/29</w:t>
      </w:r>
    </w:p>
    <w:p w14:paraId="36F6858E" w14:textId="77777777" w:rsidR="00576F37" w:rsidRPr="00DB3BED" w:rsidRDefault="00576F37" w:rsidP="00576F37">
      <w:pPr>
        <w:rPr>
          <w:rFonts w:ascii="Arial" w:hAnsi="Arial" w:cs="Arial"/>
        </w:rPr>
      </w:pPr>
      <w:r w:rsidRPr="00DB3BED">
        <w:rPr>
          <w:rFonts w:ascii="Arial" w:hAnsi="Arial" w:cs="Arial"/>
        </w:rPr>
        <w:t>113/30</w:t>
      </w:r>
    </w:p>
    <w:p w14:paraId="2A6E5CEC" w14:textId="77777777" w:rsidR="00576F37" w:rsidRDefault="00576F37" w:rsidP="00EA2340">
      <w:pPr>
        <w:jc w:val="both"/>
        <w:rPr>
          <w:rFonts w:ascii="Arial" w:hAnsi="Arial" w:cs="Arial"/>
          <w:b/>
          <w:u w:val="single"/>
        </w:rPr>
      </w:pPr>
    </w:p>
    <w:p w14:paraId="66EF9662" w14:textId="77777777" w:rsidR="00830BBA" w:rsidRPr="00B8629D" w:rsidRDefault="00830BBA" w:rsidP="00830BBA">
      <w:pPr>
        <w:rPr>
          <w:rFonts w:ascii="Arial" w:hAnsi="Arial" w:cs="Arial"/>
          <w:bCs/>
        </w:rPr>
      </w:pPr>
      <w:r>
        <w:rPr>
          <w:rFonts w:ascii="Arial" w:hAnsi="Arial" w:cs="Arial"/>
          <w:b/>
          <w:bCs/>
        </w:rPr>
        <w:t xml:space="preserve">PQ3. </w:t>
      </w:r>
      <w:r w:rsidRPr="00B8629D">
        <w:rPr>
          <w:rFonts w:ascii="Arial" w:hAnsi="Arial" w:cs="Arial"/>
          <w:b/>
          <w:bCs/>
        </w:rPr>
        <w:t>INFORMATION BULETIN:</w:t>
      </w:r>
      <w:r>
        <w:rPr>
          <w:rFonts w:ascii="Arial" w:hAnsi="Arial" w:cs="Arial"/>
          <w:b/>
          <w:bCs/>
        </w:rPr>
        <w:t xml:space="preserve"> </w:t>
      </w:r>
      <w:r w:rsidRPr="00B8629D">
        <w:rPr>
          <w:rFonts w:ascii="Arial" w:hAnsi="Arial" w:cs="Arial"/>
          <w:bCs/>
        </w:rPr>
        <w:t>EXTRA BLOCK ADDED TO THE 30</w:t>
      </w:r>
      <w:r w:rsidRPr="00B8629D">
        <w:rPr>
          <w:rFonts w:ascii="Arial" w:hAnsi="Arial" w:cs="Arial"/>
          <w:bCs/>
          <w:vertAlign w:val="superscript"/>
        </w:rPr>
        <w:t>TH</w:t>
      </w:r>
      <w:r w:rsidRPr="00B8629D">
        <w:rPr>
          <w:rFonts w:ascii="Arial" w:hAnsi="Arial" w:cs="Arial"/>
          <w:bCs/>
        </w:rPr>
        <w:t xml:space="preserve"> ROUND OFFER</w:t>
      </w:r>
    </w:p>
    <w:p w14:paraId="106926D7" w14:textId="77777777" w:rsidR="00576F37" w:rsidRDefault="00576F37" w:rsidP="00EA2340">
      <w:pPr>
        <w:jc w:val="both"/>
        <w:rPr>
          <w:rFonts w:ascii="Arial" w:hAnsi="Arial" w:cs="Arial"/>
          <w:b/>
          <w:u w:val="single"/>
        </w:rPr>
      </w:pPr>
    </w:p>
    <w:p w14:paraId="2D03B589" w14:textId="77777777" w:rsidR="00830BBA" w:rsidRDefault="00830BBA" w:rsidP="00830BBA">
      <w:pPr>
        <w:rPr>
          <w:rFonts w:ascii="Arial" w:hAnsi="Arial" w:cs="Arial"/>
          <w:sz w:val="20"/>
          <w:szCs w:val="20"/>
        </w:rPr>
      </w:pPr>
      <w:r w:rsidRPr="00830BBA">
        <w:rPr>
          <w:rFonts w:ascii="Arial" w:hAnsi="Arial" w:cs="Arial"/>
          <w:bCs/>
          <w:sz w:val="20"/>
          <w:szCs w:val="20"/>
        </w:rPr>
        <w:t xml:space="preserve">PA3. </w:t>
      </w:r>
      <w:r>
        <w:rPr>
          <w:rFonts w:ascii="Arial" w:hAnsi="Arial" w:cs="Arial"/>
        </w:rPr>
        <w:t xml:space="preserve">Please be aware that </w:t>
      </w:r>
      <w:r w:rsidR="00FB0C38">
        <w:rPr>
          <w:rFonts w:ascii="Arial" w:hAnsi="Arial" w:cs="Arial"/>
        </w:rPr>
        <w:t xml:space="preserve">Block </w:t>
      </w:r>
      <w:r>
        <w:rPr>
          <w:rFonts w:ascii="Arial" w:hAnsi="Arial" w:cs="Arial"/>
        </w:rPr>
        <w:t>21/9c has been added to the 30</w:t>
      </w:r>
      <w:r w:rsidRPr="00E62F22">
        <w:rPr>
          <w:rFonts w:ascii="Arial" w:hAnsi="Arial" w:cs="Arial"/>
          <w:vertAlign w:val="superscript"/>
        </w:rPr>
        <w:t>th</w:t>
      </w:r>
      <w:r>
        <w:rPr>
          <w:rFonts w:ascii="Arial" w:hAnsi="Arial" w:cs="Arial"/>
        </w:rPr>
        <w:t xml:space="preserve"> Round offer. </w:t>
      </w:r>
      <w:r>
        <w:rPr>
          <w:rFonts w:ascii="Arial" w:hAnsi="Arial" w:cs="Arial"/>
          <w:sz w:val="20"/>
          <w:szCs w:val="20"/>
        </w:rPr>
        <w:t>The Offshore Safety Directive required the Forties Unity facility to have a Licence. This was achieved by an Out of Round offer. The Licence was awaiting execution at the time of the launch of the 30</w:t>
      </w:r>
      <w:r>
        <w:rPr>
          <w:rFonts w:ascii="Arial" w:hAnsi="Arial" w:cs="Arial"/>
          <w:sz w:val="20"/>
          <w:szCs w:val="20"/>
          <w:vertAlign w:val="superscript"/>
        </w:rPr>
        <w:t>th</w:t>
      </w:r>
      <w:r>
        <w:rPr>
          <w:rFonts w:ascii="Arial" w:hAnsi="Arial" w:cs="Arial"/>
          <w:sz w:val="20"/>
          <w:szCs w:val="20"/>
        </w:rPr>
        <w:t xml:space="preserve"> Round so OGA was unable to make the rest of the Block available.</w:t>
      </w:r>
      <w:r w:rsidR="00C705DE">
        <w:rPr>
          <w:rFonts w:ascii="Arial" w:hAnsi="Arial" w:cs="Arial"/>
          <w:sz w:val="20"/>
          <w:szCs w:val="20"/>
        </w:rPr>
        <w:t xml:space="preserve"> </w:t>
      </w:r>
      <w:r>
        <w:rPr>
          <w:rFonts w:ascii="Arial" w:hAnsi="Arial" w:cs="Arial"/>
          <w:sz w:val="20"/>
          <w:szCs w:val="20"/>
        </w:rPr>
        <w:t>The Licence has now become Extant.</w:t>
      </w:r>
    </w:p>
    <w:p w14:paraId="025821CA" w14:textId="77777777" w:rsidR="00830BBA" w:rsidRDefault="00830BBA" w:rsidP="00830BBA">
      <w:pPr>
        <w:rPr>
          <w:rFonts w:ascii="Arial" w:hAnsi="Arial" w:cs="Arial"/>
          <w:b/>
          <w:bCs/>
          <w:sz w:val="20"/>
          <w:szCs w:val="20"/>
        </w:rPr>
      </w:pPr>
    </w:p>
    <w:p w14:paraId="0A14EDC5" w14:textId="77777777" w:rsidR="00830BBA" w:rsidRPr="00C705DE" w:rsidRDefault="00830BBA" w:rsidP="00830BBA">
      <w:pPr>
        <w:rPr>
          <w:rFonts w:ascii="Arial" w:hAnsi="Arial" w:cs="Arial"/>
          <w:bCs/>
          <w:sz w:val="20"/>
          <w:szCs w:val="20"/>
        </w:rPr>
      </w:pPr>
      <w:r w:rsidRPr="00C705DE">
        <w:rPr>
          <w:rFonts w:ascii="Arial" w:hAnsi="Arial" w:cs="Arial"/>
          <w:bCs/>
          <w:sz w:val="20"/>
          <w:szCs w:val="20"/>
        </w:rPr>
        <w:t>The OGA will not include any further Blocks in the 30</w:t>
      </w:r>
      <w:r w:rsidRPr="00C705DE">
        <w:rPr>
          <w:rFonts w:ascii="Arial" w:hAnsi="Arial" w:cs="Arial"/>
          <w:bCs/>
          <w:sz w:val="20"/>
          <w:szCs w:val="20"/>
          <w:vertAlign w:val="superscript"/>
        </w:rPr>
        <w:t>th</w:t>
      </w:r>
      <w:r w:rsidRPr="00C705DE">
        <w:rPr>
          <w:rFonts w:ascii="Arial" w:hAnsi="Arial" w:cs="Arial"/>
          <w:bCs/>
          <w:sz w:val="20"/>
          <w:szCs w:val="20"/>
        </w:rPr>
        <w:t xml:space="preserve"> Round as the 90 day period required by </w:t>
      </w:r>
      <w:proofErr w:type="gramStart"/>
      <w:r w:rsidRPr="00C705DE">
        <w:rPr>
          <w:rFonts w:ascii="Arial" w:hAnsi="Arial" w:cs="Arial"/>
          <w:bCs/>
          <w:sz w:val="20"/>
          <w:szCs w:val="20"/>
        </w:rPr>
        <w:t>the  H</w:t>
      </w:r>
      <w:r w:rsidR="00C705DE" w:rsidRPr="00C705DE">
        <w:rPr>
          <w:rFonts w:ascii="Arial" w:hAnsi="Arial" w:cs="Arial"/>
          <w:bCs/>
          <w:sz w:val="20"/>
          <w:szCs w:val="20"/>
        </w:rPr>
        <w:t>ydroca</w:t>
      </w:r>
      <w:r w:rsidR="00C705DE">
        <w:rPr>
          <w:rFonts w:ascii="Arial" w:hAnsi="Arial" w:cs="Arial"/>
          <w:bCs/>
          <w:sz w:val="20"/>
          <w:szCs w:val="20"/>
        </w:rPr>
        <w:t>r</w:t>
      </w:r>
      <w:r w:rsidR="00C705DE" w:rsidRPr="00C705DE">
        <w:rPr>
          <w:rFonts w:ascii="Arial" w:hAnsi="Arial" w:cs="Arial"/>
          <w:bCs/>
          <w:sz w:val="20"/>
          <w:szCs w:val="20"/>
        </w:rPr>
        <w:t>bon</w:t>
      </w:r>
      <w:proofErr w:type="gramEnd"/>
      <w:r w:rsidR="00C705DE" w:rsidRPr="00C705DE">
        <w:rPr>
          <w:rFonts w:ascii="Arial" w:hAnsi="Arial" w:cs="Arial"/>
          <w:bCs/>
          <w:sz w:val="20"/>
          <w:szCs w:val="20"/>
        </w:rPr>
        <w:t xml:space="preserve"> </w:t>
      </w:r>
      <w:r w:rsidRPr="00C705DE">
        <w:rPr>
          <w:rFonts w:ascii="Arial" w:hAnsi="Arial" w:cs="Arial"/>
          <w:bCs/>
          <w:sz w:val="20"/>
          <w:szCs w:val="20"/>
        </w:rPr>
        <w:t>L</w:t>
      </w:r>
      <w:r w:rsidR="00C705DE" w:rsidRPr="00C705DE">
        <w:rPr>
          <w:rFonts w:ascii="Arial" w:hAnsi="Arial" w:cs="Arial"/>
          <w:bCs/>
          <w:sz w:val="20"/>
          <w:szCs w:val="20"/>
        </w:rPr>
        <w:t xml:space="preserve">icensing Directive </w:t>
      </w:r>
      <w:r w:rsidRPr="00C705DE">
        <w:rPr>
          <w:rFonts w:ascii="Arial" w:hAnsi="Arial" w:cs="Arial"/>
          <w:bCs/>
          <w:sz w:val="20"/>
          <w:szCs w:val="20"/>
        </w:rPr>
        <w:t>prior to the closing date of the Round has now been reached.</w:t>
      </w:r>
    </w:p>
    <w:p w14:paraId="5FF25890" w14:textId="77777777" w:rsidR="00830BBA" w:rsidRDefault="00830BBA" w:rsidP="00830BBA">
      <w:pPr>
        <w:rPr>
          <w:rFonts w:ascii="Arial" w:hAnsi="Arial" w:cs="Arial"/>
          <w:b/>
          <w:bCs/>
          <w:sz w:val="20"/>
          <w:szCs w:val="20"/>
        </w:rPr>
      </w:pPr>
    </w:p>
    <w:p w14:paraId="6F3C6D68" w14:textId="77777777" w:rsidR="00830BBA" w:rsidRPr="00C705DE" w:rsidRDefault="00830BBA" w:rsidP="00830BBA">
      <w:pPr>
        <w:rPr>
          <w:rFonts w:ascii="Arial" w:hAnsi="Arial" w:cs="Arial"/>
          <w:bCs/>
          <w:sz w:val="20"/>
          <w:szCs w:val="20"/>
        </w:rPr>
      </w:pPr>
      <w:r w:rsidRPr="00C705DE">
        <w:rPr>
          <w:rFonts w:ascii="Arial" w:hAnsi="Arial" w:cs="Arial"/>
          <w:bCs/>
          <w:sz w:val="20"/>
          <w:szCs w:val="20"/>
        </w:rPr>
        <w:t>The option for Out of Round offer remains, although requests for OGA to consider such offers are unlikely to be approved unless there is the probability of a firm well commitment or equally substantive activity that would be delayed by waiting until the next Round.</w:t>
      </w:r>
    </w:p>
    <w:p w14:paraId="7C3E2F48" w14:textId="77777777" w:rsidR="00830BBA" w:rsidRDefault="00830BBA" w:rsidP="00EA2340">
      <w:pPr>
        <w:jc w:val="both"/>
        <w:rPr>
          <w:rFonts w:ascii="Arial" w:hAnsi="Arial" w:cs="Arial"/>
          <w:b/>
          <w:u w:val="single"/>
        </w:rPr>
      </w:pPr>
    </w:p>
    <w:p w14:paraId="78A8CAC6" w14:textId="77777777" w:rsidR="00B510B3" w:rsidRPr="00B510B3" w:rsidRDefault="00B510B3" w:rsidP="00EA2340">
      <w:pPr>
        <w:jc w:val="both"/>
        <w:rPr>
          <w:rFonts w:ascii="Arial" w:hAnsi="Arial" w:cs="Arial"/>
          <w:b/>
          <w:u w:val="single"/>
        </w:rPr>
      </w:pPr>
    </w:p>
    <w:p w14:paraId="7E78043D" w14:textId="77777777" w:rsidR="00B510B3" w:rsidRPr="00B510B3" w:rsidRDefault="00B510B3" w:rsidP="00B510B3">
      <w:pPr>
        <w:pStyle w:val="NormalWeb"/>
        <w:spacing w:before="200" w:after="0" w:line="216" w:lineRule="auto"/>
        <w:rPr>
          <w:rFonts w:ascii="Arial" w:hAnsi="Arial" w:cs="Arial"/>
          <w:b/>
        </w:rPr>
      </w:pPr>
      <w:r w:rsidRPr="00B510B3">
        <w:rPr>
          <w:rFonts w:ascii="Arial" w:eastAsiaTheme="minorEastAsia" w:hAnsi="Arial" w:cs="Arial"/>
          <w:b/>
          <w:kern w:val="24"/>
        </w:rPr>
        <w:t xml:space="preserve">PQ4.  How does the phase approach work for a single application multi-block </w:t>
      </w:r>
      <w:proofErr w:type="gramStart"/>
      <w:r w:rsidRPr="00B510B3">
        <w:rPr>
          <w:rFonts w:ascii="Arial" w:eastAsiaTheme="minorEastAsia" w:hAnsi="Arial" w:cs="Arial"/>
          <w:b/>
          <w:kern w:val="24"/>
        </w:rPr>
        <w:t>bid.</w:t>
      </w:r>
      <w:proofErr w:type="gramEnd"/>
      <w:r w:rsidRPr="00B510B3">
        <w:rPr>
          <w:rFonts w:ascii="Arial" w:eastAsiaTheme="minorEastAsia" w:hAnsi="Arial" w:cs="Arial"/>
          <w:b/>
          <w:kern w:val="24"/>
        </w:rPr>
        <w:t xml:space="preserve"> Does each block within the application require its own phase timing or does the phase timing relate to the single </w:t>
      </w:r>
      <w:proofErr w:type="gramStart"/>
      <w:r w:rsidRPr="00B510B3">
        <w:rPr>
          <w:rFonts w:ascii="Arial" w:eastAsiaTheme="minorEastAsia" w:hAnsi="Arial" w:cs="Arial"/>
          <w:b/>
          <w:kern w:val="24"/>
        </w:rPr>
        <w:t>application.</w:t>
      </w:r>
      <w:proofErr w:type="gramEnd"/>
      <w:r w:rsidRPr="00B510B3">
        <w:rPr>
          <w:rFonts w:ascii="Arial" w:eastAsiaTheme="minorEastAsia" w:hAnsi="Arial" w:cs="Arial"/>
          <w:b/>
          <w:kern w:val="24"/>
        </w:rPr>
        <w:t xml:space="preserve"> Can individual blocks have a longer or shorter phase than others, within the same bid. Or do all blocks in a multi-block bid require the same phase timings?</w:t>
      </w:r>
    </w:p>
    <w:p w14:paraId="5D47912B" w14:textId="77777777" w:rsidR="00B510B3" w:rsidRPr="00B510B3" w:rsidRDefault="00B510B3" w:rsidP="00B510B3">
      <w:pPr>
        <w:pStyle w:val="NormalWeb"/>
        <w:spacing w:before="200" w:after="0" w:line="216" w:lineRule="auto"/>
        <w:rPr>
          <w:rFonts w:ascii="Arial" w:hAnsi="Arial" w:cs="Arial"/>
          <w:b/>
        </w:rPr>
      </w:pPr>
      <w:r w:rsidRPr="00B510B3">
        <w:rPr>
          <w:rFonts w:ascii="Arial" w:eastAsiaTheme="minorEastAsia" w:hAnsi="Arial" w:cs="Arial"/>
          <w:b/>
          <w:kern w:val="24"/>
        </w:rPr>
        <w:t xml:space="preserve">For example, if you have a single application which includes 5 blocks, can you have a single Phasing structure which might include Geotechnical Phase A for all blocks but only 2 Phase C drill or drop wells. Or </w:t>
      </w:r>
      <w:proofErr w:type="gramStart"/>
      <w:r w:rsidRPr="00B510B3">
        <w:rPr>
          <w:rFonts w:ascii="Arial" w:eastAsiaTheme="minorEastAsia" w:hAnsi="Arial" w:cs="Arial"/>
          <w:b/>
          <w:kern w:val="24"/>
        </w:rPr>
        <w:t>does</w:t>
      </w:r>
      <w:proofErr w:type="gramEnd"/>
      <w:r w:rsidRPr="00B510B3">
        <w:rPr>
          <w:rFonts w:ascii="Arial" w:eastAsiaTheme="minorEastAsia" w:hAnsi="Arial" w:cs="Arial"/>
          <w:b/>
          <w:kern w:val="24"/>
        </w:rPr>
        <w:t xml:space="preserve"> every one of the 5 blocks need to have its own Phase A and Phase C and can the timing for each block be slightly different?</w:t>
      </w:r>
    </w:p>
    <w:p w14:paraId="1D9905F3" w14:textId="77777777" w:rsidR="00B510B3" w:rsidRPr="00B510B3" w:rsidRDefault="00B510B3" w:rsidP="00B510B3">
      <w:pPr>
        <w:pStyle w:val="NormalWeb"/>
        <w:spacing w:before="200" w:after="0" w:line="216" w:lineRule="auto"/>
        <w:rPr>
          <w:rFonts w:ascii="Arial" w:hAnsi="Arial" w:cs="Arial"/>
          <w:b/>
        </w:rPr>
      </w:pPr>
      <w:r w:rsidRPr="00B510B3">
        <w:rPr>
          <w:rFonts w:ascii="Arial" w:eastAsiaTheme="minorEastAsia" w:hAnsi="Arial" w:cs="Arial"/>
          <w:b/>
          <w:kern w:val="24"/>
        </w:rPr>
        <w:t>Our understanding is that the blocks will be input and scored separately in the LARRY system even though they are part of a single application, is this correct and how does this relate to a joint work programme and scoring.</w:t>
      </w:r>
    </w:p>
    <w:p w14:paraId="12860143" w14:textId="77777777" w:rsidR="00B510B3" w:rsidRPr="00B510B3" w:rsidRDefault="00D02D9F" w:rsidP="00B510B3">
      <w:pPr>
        <w:pStyle w:val="NormalWeb"/>
        <w:spacing w:before="200" w:after="0" w:line="216" w:lineRule="auto"/>
        <w:rPr>
          <w:rFonts w:ascii="Arial" w:hAnsi="Arial" w:cs="Arial"/>
        </w:rPr>
      </w:pPr>
      <w:r>
        <w:rPr>
          <w:rFonts w:ascii="Arial" w:eastAsiaTheme="minorEastAsia" w:hAnsi="Arial" w:cs="Arial"/>
          <w:b/>
          <w:bCs/>
          <w:kern w:val="24"/>
        </w:rPr>
        <w:t>P</w:t>
      </w:r>
      <w:r w:rsidR="00B510B3" w:rsidRPr="00B510B3">
        <w:rPr>
          <w:rFonts w:ascii="Arial" w:eastAsiaTheme="minorEastAsia" w:hAnsi="Arial" w:cs="Arial"/>
          <w:b/>
          <w:bCs/>
          <w:kern w:val="24"/>
        </w:rPr>
        <w:t>A</w:t>
      </w:r>
      <w:r>
        <w:rPr>
          <w:rFonts w:ascii="Arial" w:eastAsiaTheme="minorEastAsia" w:hAnsi="Arial" w:cs="Arial"/>
          <w:b/>
          <w:bCs/>
          <w:kern w:val="24"/>
        </w:rPr>
        <w:t>4</w:t>
      </w:r>
      <w:r w:rsidR="00B510B3" w:rsidRPr="00B510B3">
        <w:rPr>
          <w:rFonts w:ascii="Arial" w:eastAsiaTheme="minorEastAsia" w:hAnsi="Arial" w:cs="Arial"/>
          <w:b/>
          <w:bCs/>
          <w:kern w:val="24"/>
        </w:rPr>
        <w:t xml:space="preserve">: </w:t>
      </w:r>
      <w:r w:rsidR="00B510B3" w:rsidRPr="00B510B3">
        <w:rPr>
          <w:rFonts w:ascii="Arial" w:eastAsiaTheme="minorEastAsia" w:hAnsi="Arial" w:cs="Arial"/>
          <w:kern w:val="24"/>
        </w:rPr>
        <w:t xml:space="preserve">A single Application can contain </w:t>
      </w:r>
      <w:proofErr w:type="gramStart"/>
      <w:r w:rsidR="00B510B3" w:rsidRPr="00B510B3">
        <w:rPr>
          <w:rFonts w:ascii="Arial" w:eastAsiaTheme="minorEastAsia" w:hAnsi="Arial" w:cs="Arial"/>
          <w:kern w:val="24"/>
        </w:rPr>
        <w:t>a number of</w:t>
      </w:r>
      <w:proofErr w:type="gramEnd"/>
      <w:r w:rsidR="00B510B3" w:rsidRPr="00B510B3">
        <w:rPr>
          <w:rFonts w:ascii="Arial" w:eastAsiaTheme="minorEastAsia" w:hAnsi="Arial" w:cs="Arial"/>
          <w:kern w:val="24"/>
        </w:rPr>
        <w:t xml:space="preserve"> different Blocks, either</w:t>
      </w:r>
    </w:p>
    <w:p w14:paraId="39EB33D8" w14:textId="77777777" w:rsidR="00B510B3" w:rsidRPr="00B510B3" w:rsidRDefault="00B510B3" w:rsidP="00B510B3">
      <w:pPr>
        <w:pStyle w:val="ListParagraph"/>
        <w:numPr>
          <w:ilvl w:val="0"/>
          <w:numId w:val="13"/>
        </w:numPr>
        <w:spacing w:line="216" w:lineRule="auto"/>
        <w:contextualSpacing/>
        <w:rPr>
          <w:rFonts w:ascii="Arial" w:hAnsi="Arial" w:cs="Arial"/>
        </w:rPr>
      </w:pPr>
      <w:r w:rsidRPr="00B510B3">
        <w:rPr>
          <w:rFonts w:ascii="Arial" w:eastAsiaTheme="minorEastAsia" w:hAnsi="Arial" w:cs="Arial"/>
          <w:kern w:val="24"/>
        </w:rPr>
        <w:t xml:space="preserve">in the same Area which the Applicant might want us to consider offering as a single Licence, or </w:t>
      </w:r>
    </w:p>
    <w:p w14:paraId="0F30AA68" w14:textId="77777777" w:rsidR="00B510B3" w:rsidRPr="00B510B3" w:rsidRDefault="00B510B3" w:rsidP="00B510B3">
      <w:pPr>
        <w:pStyle w:val="ListParagraph"/>
        <w:numPr>
          <w:ilvl w:val="0"/>
          <w:numId w:val="13"/>
        </w:numPr>
        <w:spacing w:line="216" w:lineRule="auto"/>
        <w:contextualSpacing/>
        <w:rPr>
          <w:rFonts w:ascii="Arial" w:hAnsi="Arial" w:cs="Arial"/>
        </w:rPr>
      </w:pPr>
      <w:r w:rsidRPr="00B510B3">
        <w:rPr>
          <w:rFonts w:ascii="Arial" w:eastAsiaTheme="minorEastAsia" w:hAnsi="Arial" w:cs="Arial"/>
          <w:kern w:val="24"/>
        </w:rPr>
        <w:t xml:space="preserve">in the same Area but which might potentially result in </w:t>
      </w:r>
      <w:proofErr w:type="gramStart"/>
      <w:r w:rsidRPr="00B510B3">
        <w:rPr>
          <w:rFonts w:ascii="Arial" w:eastAsiaTheme="minorEastAsia" w:hAnsi="Arial" w:cs="Arial"/>
          <w:kern w:val="24"/>
        </w:rPr>
        <w:t>a number of</w:t>
      </w:r>
      <w:proofErr w:type="gramEnd"/>
      <w:r w:rsidRPr="00B510B3">
        <w:rPr>
          <w:rFonts w:ascii="Arial" w:eastAsiaTheme="minorEastAsia" w:hAnsi="Arial" w:cs="Arial"/>
          <w:kern w:val="24"/>
        </w:rPr>
        <w:t xml:space="preserve"> Licences, or </w:t>
      </w:r>
    </w:p>
    <w:p w14:paraId="59060F74" w14:textId="77777777" w:rsidR="00B510B3" w:rsidRPr="00B510B3" w:rsidRDefault="00B510B3" w:rsidP="00B510B3">
      <w:pPr>
        <w:pStyle w:val="ListParagraph"/>
        <w:numPr>
          <w:ilvl w:val="0"/>
          <w:numId w:val="13"/>
        </w:numPr>
        <w:spacing w:line="216" w:lineRule="auto"/>
        <w:contextualSpacing/>
        <w:rPr>
          <w:rFonts w:ascii="Arial" w:hAnsi="Arial" w:cs="Arial"/>
        </w:rPr>
      </w:pPr>
      <w:r w:rsidRPr="00B510B3">
        <w:rPr>
          <w:rFonts w:ascii="Arial" w:eastAsiaTheme="minorEastAsia" w:hAnsi="Arial" w:cs="Arial"/>
          <w:kern w:val="24"/>
        </w:rPr>
        <w:lastRenderedPageBreak/>
        <w:t xml:space="preserve">in several different Areas which would result in </w:t>
      </w:r>
      <w:proofErr w:type="gramStart"/>
      <w:r w:rsidRPr="00B510B3">
        <w:rPr>
          <w:rFonts w:ascii="Arial" w:eastAsiaTheme="minorEastAsia" w:hAnsi="Arial" w:cs="Arial"/>
          <w:kern w:val="24"/>
        </w:rPr>
        <w:t>a number of</w:t>
      </w:r>
      <w:proofErr w:type="gramEnd"/>
      <w:r w:rsidRPr="00B510B3">
        <w:rPr>
          <w:rFonts w:ascii="Arial" w:eastAsiaTheme="minorEastAsia" w:hAnsi="Arial" w:cs="Arial"/>
          <w:kern w:val="24"/>
        </w:rPr>
        <w:t xml:space="preserve"> separate Licences.</w:t>
      </w:r>
    </w:p>
    <w:p w14:paraId="588BAD68" w14:textId="77777777" w:rsidR="00B510B3" w:rsidRPr="00B510B3" w:rsidRDefault="00B510B3" w:rsidP="00B510B3">
      <w:pPr>
        <w:pStyle w:val="NormalWeb"/>
        <w:spacing w:before="200" w:after="0" w:line="216" w:lineRule="auto"/>
        <w:rPr>
          <w:rFonts w:ascii="Arial" w:hAnsi="Arial" w:cs="Arial"/>
        </w:rPr>
      </w:pPr>
      <w:r w:rsidRPr="00B510B3">
        <w:rPr>
          <w:rFonts w:ascii="Arial" w:eastAsiaTheme="minorEastAsia" w:hAnsi="Arial" w:cs="Arial"/>
          <w:kern w:val="24"/>
        </w:rPr>
        <w:t>Each Licence can contain up to 10 blocks in total (whole blocks or part-blocks), and blocks must be contiguous within the licence (corner connections are invalid).</w:t>
      </w:r>
    </w:p>
    <w:p w14:paraId="01884793" w14:textId="77777777" w:rsidR="00B510B3" w:rsidRPr="00B510B3" w:rsidRDefault="00B510B3" w:rsidP="00B510B3">
      <w:pPr>
        <w:pStyle w:val="NormalWeb"/>
        <w:spacing w:before="200" w:after="0" w:line="216" w:lineRule="auto"/>
        <w:rPr>
          <w:rFonts w:ascii="Arial" w:hAnsi="Arial" w:cs="Arial"/>
        </w:rPr>
      </w:pPr>
      <w:r w:rsidRPr="00B510B3">
        <w:rPr>
          <w:rFonts w:ascii="Arial" w:eastAsiaTheme="minorEastAsia" w:hAnsi="Arial" w:cs="Arial"/>
          <w:kern w:val="24"/>
        </w:rPr>
        <w:t xml:space="preserve">Each Licence must have its own work programme, and this is what the phase timing should relate to.  In other words, </w:t>
      </w:r>
      <w:r w:rsidRPr="00B510B3">
        <w:rPr>
          <w:rFonts w:ascii="Arial" w:eastAsiaTheme="minorEastAsia" w:hAnsi="Arial" w:cs="Arial"/>
          <w:b/>
          <w:bCs/>
          <w:i/>
          <w:iCs/>
          <w:kern w:val="24"/>
        </w:rPr>
        <w:t>all blocks within a single potential licence must have the same phasing</w:t>
      </w:r>
      <w:r w:rsidRPr="00B510B3">
        <w:rPr>
          <w:rFonts w:ascii="Arial" w:eastAsiaTheme="minorEastAsia" w:hAnsi="Arial" w:cs="Arial"/>
          <w:kern w:val="24"/>
        </w:rPr>
        <w:t>.  If there are contiguous blocks that require fundamentally different work programmes, and hence phasing, it is preferable for these to be defined as separate licences.  However, if the work required on each block only differs slightly, the applicant should consider the optimal phasing that can accommodate this work.</w:t>
      </w:r>
    </w:p>
    <w:p w14:paraId="642E8F3E" w14:textId="77777777" w:rsidR="00B510B3" w:rsidRPr="00B510B3" w:rsidRDefault="00B510B3" w:rsidP="00B510B3">
      <w:pPr>
        <w:pStyle w:val="NormalWeb"/>
        <w:spacing w:before="200" w:after="0" w:line="216" w:lineRule="auto"/>
        <w:rPr>
          <w:rFonts w:ascii="Arial" w:hAnsi="Arial" w:cs="Arial"/>
        </w:rPr>
      </w:pPr>
      <w:r w:rsidRPr="00B510B3">
        <w:rPr>
          <w:rFonts w:ascii="Arial" w:eastAsiaTheme="minorEastAsia" w:hAnsi="Arial" w:cs="Arial"/>
          <w:kern w:val="24"/>
        </w:rPr>
        <w:t>Potential Licences that have the same Start Phase Type can be submitted within a single application, even if they are geographically separate.</w:t>
      </w:r>
    </w:p>
    <w:p w14:paraId="693A2A3E" w14:textId="77777777" w:rsidR="00B510B3" w:rsidRPr="00B510B3" w:rsidRDefault="00B510B3" w:rsidP="00B510B3">
      <w:pPr>
        <w:pStyle w:val="NormalWeb"/>
        <w:spacing w:before="200" w:after="0" w:line="216" w:lineRule="auto"/>
        <w:rPr>
          <w:rFonts w:ascii="Arial" w:eastAsiaTheme="minorEastAsia" w:hAnsi="Arial" w:cs="Arial"/>
          <w:kern w:val="24"/>
        </w:rPr>
      </w:pPr>
      <w:r w:rsidRPr="00B510B3">
        <w:rPr>
          <w:rFonts w:ascii="Arial" w:eastAsiaTheme="minorEastAsia" w:hAnsi="Arial" w:cs="Arial"/>
          <w:kern w:val="24"/>
        </w:rPr>
        <w:t xml:space="preserve">Note that </w:t>
      </w:r>
      <w:r w:rsidRPr="00B510B3">
        <w:rPr>
          <w:rFonts w:ascii="Arial" w:eastAsiaTheme="minorEastAsia" w:hAnsi="Arial" w:cs="Arial"/>
          <w:i/>
          <w:kern w:val="24"/>
        </w:rPr>
        <w:t>some elements</w:t>
      </w:r>
      <w:r w:rsidRPr="00B510B3">
        <w:rPr>
          <w:rFonts w:ascii="Arial" w:eastAsiaTheme="minorEastAsia" w:hAnsi="Arial" w:cs="Arial"/>
          <w:kern w:val="24"/>
        </w:rPr>
        <w:t xml:space="preserve"> of the published Marks Scheme relate to block-specific evaluations of </w:t>
      </w:r>
      <w:proofErr w:type="spellStart"/>
      <w:r w:rsidRPr="00B510B3">
        <w:rPr>
          <w:rFonts w:ascii="Arial" w:eastAsiaTheme="minorEastAsia" w:hAnsi="Arial" w:cs="Arial"/>
          <w:kern w:val="24"/>
        </w:rPr>
        <w:t>prospectivity</w:t>
      </w:r>
      <w:proofErr w:type="spellEnd"/>
      <w:r w:rsidRPr="00B510B3">
        <w:rPr>
          <w:rFonts w:ascii="Arial" w:eastAsiaTheme="minorEastAsia" w:hAnsi="Arial" w:cs="Arial"/>
          <w:kern w:val="24"/>
        </w:rPr>
        <w:t xml:space="preserve"> and discoveries, and so to discriminate between competing applications, the OGA will mark on a block-by-block basis.  Actual and proposed coverage of seismic data will also be </w:t>
      </w:r>
      <w:proofErr w:type="gramStart"/>
      <w:r w:rsidRPr="00B510B3">
        <w:rPr>
          <w:rFonts w:ascii="Arial" w:eastAsiaTheme="minorEastAsia" w:hAnsi="Arial" w:cs="Arial"/>
          <w:kern w:val="24"/>
        </w:rPr>
        <w:t>taken into account</w:t>
      </w:r>
      <w:proofErr w:type="gramEnd"/>
      <w:r w:rsidRPr="00B510B3">
        <w:rPr>
          <w:rFonts w:ascii="Arial" w:eastAsiaTheme="minorEastAsia" w:hAnsi="Arial" w:cs="Arial"/>
          <w:kern w:val="24"/>
        </w:rPr>
        <w:t xml:space="preserve"> when evaluating individual blocks.  However, since the potential </w:t>
      </w:r>
      <w:r w:rsidRPr="00B510B3">
        <w:rPr>
          <w:rFonts w:ascii="Arial" w:eastAsiaTheme="minorEastAsia" w:hAnsi="Arial" w:cs="Arial"/>
          <w:i/>
          <w:kern w:val="24"/>
        </w:rPr>
        <w:t>licence</w:t>
      </w:r>
      <w:r w:rsidRPr="00B510B3">
        <w:rPr>
          <w:rFonts w:ascii="Arial" w:eastAsiaTheme="minorEastAsia" w:hAnsi="Arial" w:cs="Arial"/>
          <w:kern w:val="24"/>
        </w:rPr>
        <w:t xml:space="preserve"> will have an overall defined phasing, the phase timing marks will be the same for each block in that group.</w:t>
      </w:r>
    </w:p>
    <w:p w14:paraId="77738754" w14:textId="77777777" w:rsidR="00B510B3" w:rsidRPr="00B510B3" w:rsidRDefault="00B510B3" w:rsidP="00B510B3">
      <w:pPr>
        <w:pStyle w:val="NormalWeb"/>
        <w:spacing w:before="200" w:after="0" w:line="216" w:lineRule="auto"/>
        <w:rPr>
          <w:rFonts w:ascii="Arial" w:hAnsi="Arial" w:cs="Arial"/>
        </w:rPr>
        <w:sectPr w:rsidR="00B510B3" w:rsidRPr="00B510B3">
          <w:pgSz w:w="11906" w:h="16838"/>
          <w:pgMar w:top="1440" w:right="1440" w:bottom="1440" w:left="1440" w:header="708" w:footer="708" w:gutter="0"/>
          <w:cols w:space="708"/>
          <w:docGrid w:linePitch="360"/>
        </w:sectPr>
      </w:pPr>
    </w:p>
    <w:p w14:paraId="261B968E" w14:textId="77777777" w:rsidR="00B510B3" w:rsidRDefault="00B510B3" w:rsidP="00B510B3">
      <w:pPr>
        <w:rPr>
          <w:b/>
        </w:rPr>
      </w:pPr>
      <w:r>
        <w:rPr>
          <w:b/>
          <w:noProof/>
        </w:rPr>
        <w:lastRenderedPageBreak/>
        <w:drawing>
          <wp:inline distT="0" distB="0" distL="0" distR="0" wp14:anchorId="74E2755B" wp14:editId="2EBD1E45">
            <wp:extent cx="9152255" cy="5374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60332" cy="5379528"/>
                    </a:xfrm>
                    <a:prstGeom prst="rect">
                      <a:avLst/>
                    </a:prstGeom>
                    <a:noFill/>
                  </pic:spPr>
                </pic:pic>
              </a:graphicData>
            </a:graphic>
          </wp:inline>
        </w:drawing>
      </w:r>
    </w:p>
    <w:p w14:paraId="0B6B94F0" w14:textId="77777777" w:rsidR="00B510B3" w:rsidRDefault="00B510B3" w:rsidP="00B510B3">
      <w:pPr>
        <w:rPr>
          <w:b/>
        </w:rPr>
        <w:sectPr w:rsidR="00B510B3" w:rsidSect="001E7056">
          <w:pgSz w:w="16838" w:h="11906" w:orient="landscape"/>
          <w:pgMar w:top="1440" w:right="1440" w:bottom="1440" w:left="1440" w:header="708" w:footer="708" w:gutter="0"/>
          <w:cols w:space="708"/>
          <w:docGrid w:linePitch="360"/>
        </w:sectPr>
      </w:pPr>
    </w:p>
    <w:p w14:paraId="393D7C60" w14:textId="77777777" w:rsidR="00B510B3" w:rsidRPr="00B510B3" w:rsidRDefault="00B510B3" w:rsidP="00B510B3">
      <w:pPr>
        <w:rPr>
          <w:rFonts w:ascii="Arial" w:hAnsi="Arial" w:cs="Arial"/>
          <w:b/>
        </w:rPr>
      </w:pPr>
      <w:r w:rsidRPr="00B510B3">
        <w:rPr>
          <w:rFonts w:ascii="Arial" w:hAnsi="Arial" w:cs="Arial"/>
          <w:b/>
        </w:rPr>
        <w:lastRenderedPageBreak/>
        <w:t>PQ5: Is it possible for the OGA to make some of the 2016 OGA reprocessed seismic data from around the Isle of Man available whilst the 30</w:t>
      </w:r>
      <w:r w:rsidRPr="00B510B3">
        <w:rPr>
          <w:rFonts w:ascii="Arial" w:hAnsi="Arial" w:cs="Arial"/>
          <w:b/>
          <w:vertAlign w:val="superscript"/>
        </w:rPr>
        <w:t>th</w:t>
      </w:r>
      <w:r w:rsidRPr="00B510B3">
        <w:rPr>
          <w:rFonts w:ascii="Arial" w:hAnsi="Arial" w:cs="Arial"/>
          <w:b/>
        </w:rPr>
        <w:t xml:space="preserve"> Licensing Round is open?</w:t>
      </w:r>
    </w:p>
    <w:p w14:paraId="06D949C4" w14:textId="77777777" w:rsidR="00B510B3" w:rsidRPr="00B510B3" w:rsidRDefault="00B510B3" w:rsidP="00B510B3">
      <w:pPr>
        <w:rPr>
          <w:rFonts w:ascii="Arial" w:hAnsi="Arial" w:cs="Arial"/>
        </w:rPr>
      </w:pPr>
    </w:p>
    <w:p w14:paraId="58EFA457" w14:textId="77777777" w:rsidR="00B510B3" w:rsidRPr="00B510B3" w:rsidRDefault="00D02D9F" w:rsidP="00B510B3">
      <w:pPr>
        <w:rPr>
          <w:rFonts w:ascii="Arial" w:hAnsi="Arial" w:cs="Arial"/>
        </w:rPr>
      </w:pPr>
      <w:r>
        <w:rPr>
          <w:rFonts w:ascii="Arial" w:hAnsi="Arial" w:cs="Arial"/>
          <w:b/>
        </w:rPr>
        <w:t>P</w:t>
      </w:r>
      <w:r w:rsidR="00B510B3" w:rsidRPr="00B510B3">
        <w:rPr>
          <w:rFonts w:ascii="Arial" w:hAnsi="Arial" w:cs="Arial"/>
          <w:b/>
        </w:rPr>
        <w:t>A</w:t>
      </w:r>
      <w:r>
        <w:rPr>
          <w:rFonts w:ascii="Arial" w:hAnsi="Arial" w:cs="Arial"/>
          <w:b/>
        </w:rPr>
        <w:t>5</w:t>
      </w:r>
      <w:r w:rsidR="00B510B3" w:rsidRPr="00B510B3">
        <w:rPr>
          <w:rFonts w:ascii="Arial" w:hAnsi="Arial" w:cs="Arial"/>
          <w:b/>
        </w:rPr>
        <w:t>:</w:t>
      </w:r>
      <w:r w:rsidR="00B510B3" w:rsidRPr="00B510B3">
        <w:rPr>
          <w:rFonts w:ascii="Arial" w:hAnsi="Arial" w:cs="Arial"/>
        </w:rPr>
        <w:t xml:space="preserve"> The OGA can make a select subset of the 2016 reprocessed data from around the Isle of Man available ahead of its general release later this year. The data can be made available for viewing purposes only and no copies of the final 2D data can be made </w:t>
      </w:r>
      <w:proofErr w:type="gramStart"/>
      <w:r w:rsidR="00B510B3" w:rsidRPr="00B510B3">
        <w:rPr>
          <w:rFonts w:ascii="Arial" w:hAnsi="Arial" w:cs="Arial"/>
        </w:rPr>
        <w:t>at this time</w:t>
      </w:r>
      <w:proofErr w:type="gramEnd"/>
      <w:r w:rsidR="00B510B3" w:rsidRPr="00B510B3">
        <w:rPr>
          <w:rFonts w:ascii="Arial" w:hAnsi="Arial" w:cs="Arial"/>
        </w:rPr>
        <w:t>. Requests to view the available subset of data should be made directly to the OGA.</w:t>
      </w:r>
    </w:p>
    <w:p w14:paraId="7C808A06" w14:textId="77777777" w:rsidR="00B510B3" w:rsidRPr="00B510B3" w:rsidRDefault="00B510B3" w:rsidP="00B510B3">
      <w:pPr>
        <w:jc w:val="center"/>
        <w:rPr>
          <w:rFonts w:ascii="Arial" w:hAnsi="Arial" w:cs="Arial"/>
        </w:rPr>
      </w:pPr>
      <w:r w:rsidRPr="00B510B3">
        <w:rPr>
          <w:rFonts w:ascii="Arial" w:hAnsi="Arial" w:cs="Arial"/>
        </w:rPr>
        <w:t>---------------------------------------------------------------------</w:t>
      </w:r>
    </w:p>
    <w:p w14:paraId="6A3C0203" w14:textId="77777777" w:rsidR="00B510B3" w:rsidRPr="00B510B3" w:rsidRDefault="007C69EE" w:rsidP="00B510B3">
      <w:pPr>
        <w:rPr>
          <w:rFonts w:ascii="Arial" w:hAnsi="Arial" w:cs="Arial"/>
          <w:b/>
        </w:rPr>
      </w:pPr>
      <w:r>
        <w:rPr>
          <w:rFonts w:ascii="Arial" w:hAnsi="Arial" w:cs="Arial"/>
          <w:b/>
        </w:rPr>
        <w:t>P</w:t>
      </w:r>
      <w:r w:rsidR="00B510B3" w:rsidRPr="00B510B3">
        <w:rPr>
          <w:rFonts w:ascii="Arial" w:hAnsi="Arial" w:cs="Arial"/>
          <w:b/>
        </w:rPr>
        <w:t>Q</w:t>
      </w:r>
      <w:r>
        <w:rPr>
          <w:rFonts w:ascii="Arial" w:hAnsi="Arial" w:cs="Arial"/>
          <w:b/>
        </w:rPr>
        <w:t>6</w:t>
      </w:r>
      <w:r w:rsidR="00B510B3" w:rsidRPr="00B510B3">
        <w:rPr>
          <w:rFonts w:ascii="Arial" w:hAnsi="Arial" w:cs="Arial"/>
          <w:b/>
        </w:rPr>
        <w:t>: What Mark does a Contingent well attract?</w:t>
      </w:r>
    </w:p>
    <w:p w14:paraId="1B26146B" w14:textId="77777777" w:rsidR="00B510B3" w:rsidRPr="00B510B3" w:rsidRDefault="00B510B3" w:rsidP="00B510B3">
      <w:pPr>
        <w:rPr>
          <w:rFonts w:ascii="Arial" w:hAnsi="Arial" w:cs="Arial"/>
          <w:b/>
        </w:rPr>
      </w:pPr>
    </w:p>
    <w:p w14:paraId="1EEA12DB" w14:textId="77777777" w:rsidR="00B510B3" w:rsidRPr="007C69EE" w:rsidRDefault="00EC5602" w:rsidP="00B510B3">
      <w:pPr>
        <w:rPr>
          <w:rFonts w:ascii="Arial" w:hAnsi="Arial" w:cs="Arial"/>
        </w:rPr>
      </w:pPr>
      <w:r w:rsidRPr="00EC5602">
        <w:rPr>
          <w:rFonts w:ascii="Arial" w:hAnsi="Arial" w:cs="Arial"/>
          <w:b/>
        </w:rPr>
        <w:t>P</w:t>
      </w:r>
      <w:r w:rsidR="00B510B3" w:rsidRPr="00EC5602">
        <w:rPr>
          <w:rFonts w:ascii="Arial" w:hAnsi="Arial" w:cs="Arial"/>
          <w:b/>
        </w:rPr>
        <w:t>A</w:t>
      </w:r>
      <w:r w:rsidRPr="00EC5602">
        <w:rPr>
          <w:rFonts w:ascii="Arial" w:hAnsi="Arial" w:cs="Arial"/>
          <w:b/>
        </w:rPr>
        <w:t>6</w:t>
      </w:r>
      <w:r w:rsidR="00B510B3" w:rsidRPr="00EC5602">
        <w:rPr>
          <w:rFonts w:ascii="Arial" w:hAnsi="Arial" w:cs="Arial"/>
          <w:b/>
        </w:rPr>
        <w:t>:</w:t>
      </w:r>
      <w:r w:rsidR="00B510B3" w:rsidRPr="007C69EE">
        <w:rPr>
          <w:rFonts w:ascii="Arial" w:hAnsi="Arial" w:cs="Arial"/>
        </w:rPr>
        <w:t xml:space="preserve"> A Contingent well will not attract any actual Marks directly as the Financial capacity to drill will not have been considered (the Application will have been submitted under the Phase A/B option in LARRY. Marks will be allocated on the basis of the Start Phase only, so where a Contingent well might be suggested but the Start Phase is Phase A, the Marks will be allocated for a Phase </w:t>
      </w:r>
      <w:proofErr w:type="gramStart"/>
      <w:r w:rsidR="00B510B3" w:rsidRPr="007C69EE">
        <w:rPr>
          <w:rFonts w:ascii="Arial" w:hAnsi="Arial" w:cs="Arial"/>
        </w:rPr>
        <w:t>A</w:t>
      </w:r>
      <w:proofErr w:type="gramEnd"/>
      <w:r w:rsidR="00B510B3" w:rsidRPr="007C69EE">
        <w:rPr>
          <w:rFonts w:ascii="Arial" w:hAnsi="Arial" w:cs="Arial"/>
        </w:rPr>
        <w:t xml:space="preserve"> Start (i.e. 0 to 10). Where the Start Phase is Phase B, New-Shoot Seismic, then Phase B Start attracts 20 to 40 Marks depending on whether the duration of that Phase is considered Long or Short by the OGA.</w:t>
      </w:r>
    </w:p>
    <w:p w14:paraId="14E22810" w14:textId="77777777" w:rsidR="00B510B3" w:rsidRPr="007C69EE" w:rsidRDefault="00B510B3" w:rsidP="00B510B3">
      <w:pPr>
        <w:rPr>
          <w:rFonts w:ascii="Arial" w:hAnsi="Arial" w:cs="Arial"/>
          <w:color w:val="FF0000"/>
        </w:rPr>
      </w:pPr>
      <w:r w:rsidRPr="007C69EE">
        <w:rPr>
          <w:rFonts w:ascii="Arial" w:hAnsi="Arial" w:cs="Arial"/>
        </w:rPr>
        <w:t xml:space="preserve">A Contingent well is one where the decision whether to drill or not is ceded to the OGA. </w:t>
      </w:r>
      <w:proofErr w:type="gramStart"/>
      <w:r w:rsidRPr="007C69EE">
        <w:rPr>
          <w:rFonts w:ascii="Arial" w:hAnsi="Arial" w:cs="Arial"/>
        </w:rPr>
        <w:t>Whether or not</w:t>
      </w:r>
      <w:proofErr w:type="gramEnd"/>
      <w:r w:rsidRPr="007C69EE">
        <w:rPr>
          <w:rFonts w:ascii="Arial" w:hAnsi="Arial" w:cs="Arial"/>
        </w:rPr>
        <w:t xml:space="preserve"> a well will be drilled depends on dialogue to be held with the OGA as the end of Phase B (or Phase A if there is no Phase B) approaches. Where a waiver for the Contingent well is sought the OGA requires a minimum of six months’ notice. If the well is proposed to be drilled, Financial capacity checks will be carried out prior to entry into Phase C. </w:t>
      </w:r>
      <w:r w:rsidRPr="007C69EE">
        <w:rPr>
          <w:rFonts w:ascii="Arial" w:hAnsi="Arial" w:cs="Arial"/>
          <w:color w:val="FF0000"/>
        </w:rPr>
        <w:t xml:space="preserve"> </w:t>
      </w:r>
    </w:p>
    <w:p w14:paraId="4327B2BF" w14:textId="77777777" w:rsidR="00B510B3" w:rsidRPr="00B510B3" w:rsidRDefault="00B510B3" w:rsidP="00B510B3">
      <w:pPr>
        <w:jc w:val="center"/>
        <w:rPr>
          <w:rFonts w:ascii="Arial" w:hAnsi="Arial" w:cs="Arial"/>
          <w:color w:val="FF0000"/>
        </w:rPr>
      </w:pPr>
      <w:r w:rsidRPr="00B510B3">
        <w:rPr>
          <w:rFonts w:ascii="Arial" w:hAnsi="Arial" w:cs="Arial"/>
        </w:rPr>
        <w:t>---------------------------------------------------------------------</w:t>
      </w:r>
    </w:p>
    <w:p w14:paraId="6501276B" w14:textId="77777777" w:rsidR="007C69EE" w:rsidRDefault="007C69EE" w:rsidP="00B510B3">
      <w:pPr>
        <w:pStyle w:val="PlainText"/>
        <w:rPr>
          <w:rFonts w:ascii="Arial" w:hAnsi="Arial" w:cs="Arial"/>
          <w:b/>
          <w:i/>
          <w:lang w:val="en-AU"/>
        </w:rPr>
      </w:pPr>
    </w:p>
    <w:p w14:paraId="7852327F" w14:textId="77777777" w:rsidR="00B510B3" w:rsidRPr="007C69EE" w:rsidRDefault="007C69EE" w:rsidP="00B510B3">
      <w:pPr>
        <w:pStyle w:val="PlainText"/>
        <w:rPr>
          <w:rFonts w:ascii="Arial" w:hAnsi="Arial" w:cs="Arial"/>
          <w:b/>
        </w:rPr>
      </w:pPr>
      <w:r w:rsidRPr="007C69EE">
        <w:rPr>
          <w:rFonts w:ascii="Arial" w:hAnsi="Arial" w:cs="Arial"/>
          <w:b/>
          <w:lang w:val="en-AU"/>
        </w:rPr>
        <w:t>P</w:t>
      </w:r>
      <w:r w:rsidR="00B510B3" w:rsidRPr="007C69EE">
        <w:rPr>
          <w:rFonts w:ascii="Arial" w:hAnsi="Arial" w:cs="Arial"/>
          <w:b/>
          <w:lang w:val="en-AU"/>
        </w:rPr>
        <w:t>Q</w:t>
      </w:r>
      <w:r w:rsidRPr="007C69EE">
        <w:rPr>
          <w:rFonts w:ascii="Arial" w:hAnsi="Arial" w:cs="Arial"/>
          <w:b/>
          <w:lang w:val="en-AU"/>
        </w:rPr>
        <w:t>7</w:t>
      </w:r>
      <w:r w:rsidR="00B510B3" w:rsidRPr="007C69EE">
        <w:rPr>
          <w:rFonts w:ascii="Arial" w:hAnsi="Arial" w:cs="Arial"/>
          <w:b/>
          <w:lang w:val="en-AU"/>
        </w:rPr>
        <w:t xml:space="preserve">: </w:t>
      </w:r>
      <w:r w:rsidR="00B510B3" w:rsidRPr="007C69EE">
        <w:rPr>
          <w:rFonts w:ascii="Arial" w:hAnsi="Arial" w:cs="Arial"/>
          <w:b/>
        </w:rPr>
        <w:t>I am looking at the 30th Round technical guidance and cannot find a full definition (or reference) relating to contingent commitments. Grateful if you could direct me to the relevant text that now applies.</w:t>
      </w:r>
    </w:p>
    <w:p w14:paraId="0468314B" w14:textId="77777777" w:rsidR="00B510B3" w:rsidRPr="00B510B3" w:rsidRDefault="00B510B3" w:rsidP="00B510B3">
      <w:pPr>
        <w:pStyle w:val="PlainText"/>
        <w:rPr>
          <w:rFonts w:ascii="Arial" w:hAnsi="Arial" w:cs="Arial"/>
          <w:i/>
        </w:rPr>
      </w:pPr>
      <w:r w:rsidRPr="00B510B3">
        <w:rPr>
          <w:rFonts w:ascii="Arial" w:hAnsi="Arial" w:cs="Arial"/>
          <w:i/>
        </w:rPr>
        <w:t xml:space="preserve"> </w:t>
      </w:r>
    </w:p>
    <w:p w14:paraId="2C37C72A" w14:textId="77777777" w:rsidR="00B510B3" w:rsidRPr="007C69EE" w:rsidRDefault="00B510B3" w:rsidP="00B510B3">
      <w:pPr>
        <w:pStyle w:val="PlainText"/>
        <w:rPr>
          <w:rFonts w:ascii="Arial" w:hAnsi="Arial" w:cs="Arial"/>
          <w:b/>
        </w:rPr>
      </w:pPr>
      <w:r w:rsidRPr="007C69EE">
        <w:rPr>
          <w:rFonts w:ascii="Arial" w:hAnsi="Arial" w:cs="Arial"/>
          <w:b/>
        </w:rPr>
        <w:t xml:space="preserve">Assuming it is </w:t>
      </w:r>
      <w:proofErr w:type="gramStart"/>
      <w:r w:rsidRPr="007C69EE">
        <w:rPr>
          <w:rFonts w:ascii="Arial" w:hAnsi="Arial" w:cs="Arial"/>
          <w:b/>
        </w:rPr>
        <w:t>similar to</w:t>
      </w:r>
      <w:proofErr w:type="gramEnd"/>
      <w:r w:rsidRPr="007C69EE">
        <w:rPr>
          <w:rFonts w:ascii="Arial" w:hAnsi="Arial" w:cs="Arial"/>
          <w:b/>
        </w:rPr>
        <w:t xml:space="preserve"> the 29th Round, where the case to be relieved of the commitment is in the hands of OGA and they insist the well is drilled in accordance with MER policy, then what happens where the licence holder does not have the financial capability to drill e.g. where the licensee is essentially a 'promote' type company. No doubt the licence would then end but my concern is that, where there is no financial capacity check made at the time of application for a Phase B new shoot seismic and contingent well, is it appropriate (all other things being equal) and fair on those who already have such capability, to accept a contingent commitment without considering anything about the applicant's financial capability?</w:t>
      </w:r>
    </w:p>
    <w:p w14:paraId="72E06395" w14:textId="77777777" w:rsidR="00B510B3" w:rsidRPr="00B510B3" w:rsidRDefault="00B510B3" w:rsidP="00B510B3">
      <w:pPr>
        <w:pStyle w:val="Default"/>
        <w:rPr>
          <w:color w:val="auto"/>
        </w:rPr>
      </w:pPr>
    </w:p>
    <w:p w14:paraId="2559365A" w14:textId="77777777" w:rsidR="00B510B3" w:rsidRPr="00B510B3" w:rsidRDefault="00EC5602" w:rsidP="00B510B3">
      <w:pPr>
        <w:pStyle w:val="Default"/>
        <w:rPr>
          <w:b/>
          <w:i/>
          <w:color w:val="FF0000"/>
        </w:rPr>
      </w:pPr>
      <w:r>
        <w:rPr>
          <w:b/>
          <w:color w:val="auto"/>
        </w:rPr>
        <w:t>P</w:t>
      </w:r>
      <w:r w:rsidR="00B510B3" w:rsidRPr="00B510B3">
        <w:rPr>
          <w:b/>
          <w:color w:val="auto"/>
        </w:rPr>
        <w:t>A</w:t>
      </w:r>
      <w:r>
        <w:rPr>
          <w:b/>
          <w:color w:val="auto"/>
        </w:rPr>
        <w:t>7</w:t>
      </w:r>
      <w:r w:rsidR="00B510B3" w:rsidRPr="00B510B3">
        <w:rPr>
          <w:b/>
          <w:color w:val="auto"/>
        </w:rPr>
        <w:t>:</w:t>
      </w:r>
      <w:r w:rsidR="00B510B3" w:rsidRPr="00B510B3">
        <w:rPr>
          <w:color w:val="auto"/>
        </w:rPr>
        <w:t xml:space="preserve"> A </w:t>
      </w:r>
      <w:r w:rsidR="00B510B3" w:rsidRPr="00B510B3">
        <w:rPr>
          <w:i/>
          <w:iCs/>
          <w:color w:val="auto"/>
        </w:rPr>
        <w:t xml:space="preserve">Contingent Drilling Commitment </w:t>
      </w:r>
      <w:r w:rsidR="00B510B3" w:rsidRPr="00B510B3">
        <w:rPr>
          <w:color w:val="auto"/>
        </w:rPr>
        <w:t xml:space="preserve">is also a commitment to the Secretary of State to drill a well, but it includes specific provision for the OGA to waive the commitment if we agree that drilling would not be an appropriate use of resources, having regard to the MER UK policy, and all the information available to the OGA at the time of consideration, </w:t>
      </w:r>
      <w:proofErr w:type="gramStart"/>
      <w:r w:rsidR="00B510B3" w:rsidRPr="00B510B3">
        <w:rPr>
          <w:color w:val="auto"/>
        </w:rPr>
        <w:t>in particular the</w:t>
      </w:r>
      <w:proofErr w:type="gramEnd"/>
      <w:r w:rsidR="00B510B3" w:rsidRPr="00B510B3">
        <w:rPr>
          <w:color w:val="auto"/>
        </w:rPr>
        <w:t xml:space="preserve"> agreed evaluation of specified further technical work (e.g. a technical study based on a new seismic survey). If the Licensee feels that the well is not justified, it must make a technical and, where appropriate, economic case to the OGA to have the commitment waived, </w:t>
      </w:r>
      <w:r w:rsidR="00B510B3" w:rsidRPr="00B510B3">
        <w:rPr>
          <w:b/>
          <w:i/>
          <w:color w:val="auto"/>
        </w:rPr>
        <w:t>no later than one year prior to the end of the Initial Term</w:t>
      </w:r>
      <w:r w:rsidR="00B510B3" w:rsidRPr="00B510B3">
        <w:rPr>
          <w:b/>
          <w:i/>
          <w:color w:val="FF0000"/>
        </w:rPr>
        <w:t xml:space="preserve">. </w:t>
      </w:r>
    </w:p>
    <w:p w14:paraId="6A86F1D6" w14:textId="77777777" w:rsidR="00B510B3" w:rsidRPr="00B510B3" w:rsidRDefault="00B510B3" w:rsidP="00B510B3">
      <w:pPr>
        <w:jc w:val="center"/>
        <w:rPr>
          <w:rFonts w:ascii="Arial" w:hAnsi="Arial" w:cs="Arial"/>
          <w:lang w:val="en-AU"/>
        </w:rPr>
      </w:pPr>
      <w:r w:rsidRPr="00B510B3">
        <w:rPr>
          <w:rFonts w:ascii="Arial" w:hAnsi="Arial" w:cs="Arial"/>
        </w:rPr>
        <w:t>---------------------------------------------------------------------</w:t>
      </w:r>
    </w:p>
    <w:p w14:paraId="55F88219" w14:textId="77777777" w:rsidR="00B510B3" w:rsidRPr="007C69EE" w:rsidRDefault="007C69EE" w:rsidP="00B510B3">
      <w:pPr>
        <w:pStyle w:val="PlainText"/>
        <w:rPr>
          <w:rFonts w:ascii="Arial" w:hAnsi="Arial" w:cs="Arial"/>
          <w:b/>
        </w:rPr>
      </w:pPr>
      <w:r>
        <w:rPr>
          <w:rFonts w:ascii="Arial" w:hAnsi="Arial" w:cs="Arial"/>
          <w:b/>
        </w:rPr>
        <w:lastRenderedPageBreak/>
        <w:t>P</w:t>
      </w:r>
      <w:r w:rsidR="00B510B3" w:rsidRPr="007C69EE">
        <w:rPr>
          <w:rFonts w:ascii="Arial" w:hAnsi="Arial" w:cs="Arial"/>
          <w:b/>
        </w:rPr>
        <w:t>Q</w:t>
      </w:r>
      <w:r>
        <w:rPr>
          <w:rFonts w:ascii="Arial" w:hAnsi="Arial" w:cs="Arial"/>
          <w:b/>
        </w:rPr>
        <w:t>8</w:t>
      </w:r>
      <w:r w:rsidR="00B510B3" w:rsidRPr="007C69EE">
        <w:rPr>
          <w:rFonts w:ascii="Arial" w:hAnsi="Arial" w:cs="Arial"/>
          <w:b/>
        </w:rPr>
        <w:t>: Will any agreed work programme 'amendments' (as described in the new Model Clauses) be made publicly available showing when agreed and how revised?</w:t>
      </w:r>
    </w:p>
    <w:p w14:paraId="39A3CD61" w14:textId="77777777" w:rsidR="00B510B3" w:rsidRPr="00B510B3" w:rsidRDefault="00B510B3" w:rsidP="00B510B3">
      <w:pPr>
        <w:rPr>
          <w:rFonts w:ascii="Arial" w:hAnsi="Arial" w:cs="Arial"/>
          <w:lang w:val="en-AU"/>
        </w:rPr>
      </w:pPr>
    </w:p>
    <w:p w14:paraId="5C0AC2FA" w14:textId="77777777" w:rsidR="00B510B3" w:rsidRPr="00B510B3" w:rsidRDefault="00EC5602" w:rsidP="00B510B3">
      <w:pPr>
        <w:rPr>
          <w:rFonts w:ascii="Arial" w:hAnsi="Arial" w:cs="Arial"/>
          <w:b/>
        </w:rPr>
      </w:pPr>
      <w:r>
        <w:rPr>
          <w:rFonts w:ascii="Arial" w:hAnsi="Arial" w:cs="Arial"/>
          <w:b/>
        </w:rPr>
        <w:t>P</w:t>
      </w:r>
      <w:r w:rsidR="00B510B3" w:rsidRPr="00B510B3">
        <w:rPr>
          <w:rFonts w:ascii="Arial" w:hAnsi="Arial" w:cs="Arial"/>
          <w:b/>
        </w:rPr>
        <w:t>A</w:t>
      </w:r>
      <w:r>
        <w:rPr>
          <w:rFonts w:ascii="Arial" w:hAnsi="Arial" w:cs="Arial"/>
          <w:b/>
        </w:rPr>
        <w:t>9</w:t>
      </w:r>
      <w:r w:rsidR="00B510B3" w:rsidRPr="00B510B3">
        <w:rPr>
          <w:rFonts w:ascii="Arial" w:hAnsi="Arial" w:cs="Arial"/>
          <w:b/>
        </w:rPr>
        <w:t xml:space="preserve">: </w:t>
      </w:r>
      <w:r w:rsidR="00B510B3" w:rsidRPr="00B510B3">
        <w:rPr>
          <w:rFonts w:ascii="Arial" w:hAnsi="Arial" w:cs="Arial"/>
        </w:rPr>
        <w:t xml:space="preserve">The OGA does not intend to make Work Programme “amendments” publicly available. They are usually made by letter agreement where minor, or by Deed of Amendment if of a more substantive nature, such as a different Geological horizon for the well depth. Before agreeing to any amendment, the OGA considers whether any competitor at the time of the original Application would be disadvantaged, but it is effectively an agreement between the OGA and the current Licensees, based on the data and information available at the time. </w:t>
      </w:r>
      <w:r w:rsidR="00B510B3" w:rsidRPr="00B510B3">
        <w:rPr>
          <w:rFonts w:ascii="Arial" w:hAnsi="Arial" w:cs="Arial"/>
          <w:b/>
        </w:rPr>
        <w:t xml:space="preserve"> </w:t>
      </w:r>
    </w:p>
    <w:p w14:paraId="23E6C843" w14:textId="77777777" w:rsidR="00B510B3" w:rsidRPr="00B510B3" w:rsidRDefault="00B510B3" w:rsidP="00B510B3">
      <w:pPr>
        <w:jc w:val="center"/>
        <w:rPr>
          <w:rFonts w:ascii="Arial" w:hAnsi="Arial" w:cs="Arial"/>
          <w:b/>
        </w:rPr>
      </w:pPr>
      <w:r w:rsidRPr="00B510B3">
        <w:rPr>
          <w:rFonts w:ascii="Arial" w:hAnsi="Arial" w:cs="Arial"/>
        </w:rPr>
        <w:t>---------------------------------------------------------------------</w:t>
      </w:r>
    </w:p>
    <w:p w14:paraId="679D8B34" w14:textId="77777777" w:rsidR="00B510B3" w:rsidRPr="00B510B3" w:rsidRDefault="007C69EE" w:rsidP="00B510B3">
      <w:pPr>
        <w:rPr>
          <w:rFonts w:ascii="Arial" w:hAnsi="Arial" w:cs="Arial"/>
        </w:rPr>
      </w:pPr>
      <w:r>
        <w:rPr>
          <w:rFonts w:ascii="Arial" w:hAnsi="Arial" w:cs="Arial"/>
          <w:b/>
        </w:rPr>
        <w:t>P</w:t>
      </w:r>
      <w:r w:rsidR="00B510B3" w:rsidRPr="00B510B3">
        <w:rPr>
          <w:rFonts w:ascii="Arial" w:hAnsi="Arial" w:cs="Arial"/>
          <w:b/>
        </w:rPr>
        <w:t>Q</w:t>
      </w:r>
      <w:r>
        <w:rPr>
          <w:rFonts w:ascii="Arial" w:hAnsi="Arial" w:cs="Arial"/>
          <w:b/>
        </w:rPr>
        <w:t>9</w:t>
      </w:r>
      <w:r w:rsidR="00B510B3" w:rsidRPr="00B510B3">
        <w:rPr>
          <w:rFonts w:ascii="Arial" w:hAnsi="Arial" w:cs="Arial"/>
          <w:b/>
        </w:rPr>
        <w:t xml:space="preserve">: </w:t>
      </w:r>
      <w:r w:rsidR="00B510B3" w:rsidRPr="00B510B3">
        <w:rPr>
          <w:rFonts w:ascii="Arial" w:hAnsi="Arial" w:cs="Arial"/>
        </w:rPr>
        <w:t xml:space="preserve">Is there anything to prevent a Company applying for a Block (or series of Blocks) with one Group which identifies </w:t>
      </w:r>
      <w:proofErr w:type="spellStart"/>
      <w:r w:rsidR="00B510B3" w:rsidRPr="00B510B3">
        <w:rPr>
          <w:rFonts w:ascii="Arial" w:hAnsi="Arial" w:cs="Arial"/>
        </w:rPr>
        <w:t>prospectivity</w:t>
      </w:r>
      <w:proofErr w:type="spellEnd"/>
      <w:r w:rsidR="00B510B3" w:rsidRPr="00B510B3">
        <w:rPr>
          <w:rFonts w:ascii="Arial" w:hAnsi="Arial" w:cs="Arial"/>
        </w:rPr>
        <w:t xml:space="preserve"> in one part of the Block(s) also applying for the same Block(s) with a different Group which sees different </w:t>
      </w:r>
      <w:proofErr w:type="spellStart"/>
      <w:r w:rsidR="00B510B3" w:rsidRPr="00B510B3">
        <w:rPr>
          <w:rFonts w:ascii="Arial" w:hAnsi="Arial" w:cs="Arial"/>
        </w:rPr>
        <w:t>prospectivity</w:t>
      </w:r>
      <w:proofErr w:type="spellEnd"/>
      <w:r w:rsidR="00B510B3" w:rsidRPr="00B510B3">
        <w:rPr>
          <w:rFonts w:ascii="Arial" w:hAnsi="Arial" w:cs="Arial"/>
        </w:rPr>
        <w:t xml:space="preserve"> in another part of the Block(s). </w:t>
      </w:r>
    </w:p>
    <w:p w14:paraId="21F23411" w14:textId="77777777" w:rsidR="00B510B3" w:rsidRPr="00B510B3" w:rsidRDefault="00B510B3" w:rsidP="00B510B3">
      <w:pPr>
        <w:ind w:left="720"/>
        <w:rPr>
          <w:rFonts w:ascii="Arial" w:hAnsi="Arial" w:cs="Arial"/>
          <w:i/>
        </w:rPr>
      </w:pPr>
      <w:r w:rsidRPr="00B510B3">
        <w:rPr>
          <w:rFonts w:ascii="Arial" w:hAnsi="Arial" w:cs="Arial"/>
          <w:i/>
        </w:rPr>
        <w:t>Example: block 35/15 is open and named as being available in 30</w:t>
      </w:r>
      <w:r w:rsidRPr="00B510B3">
        <w:rPr>
          <w:rFonts w:ascii="Arial" w:hAnsi="Arial" w:cs="Arial"/>
          <w:i/>
          <w:vertAlign w:val="superscript"/>
        </w:rPr>
        <w:t>th</w:t>
      </w:r>
      <w:r w:rsidRPr="00B510B3">
        <w:rPr>
          <w:rFonts w:ascii="Arial" w:hAnsi="Arial" w:cs="Arial"/>
          <w:i/>
        </w:rPr>
        <w:t xml:space="preserve"> Round.</w:t>
      </w:r>
    </w:p>
    <w:p w14:paraId="63C43269" w14:textId="77777777" w:rsidR="00B510B3" w:rsidRPr="00B510B3" w:rsidRDefault="00B510B3" w:rsidP="00B510B3">
      <w:pPr>
        <w:ind w:left="720"/>
        <w:rPr>
          <w:rFonts w:ascii="Arial" w:hAnsi="Arial" w:cs="Arial"/>
          <w:i/>
        </w:rPr>
      </w:pPr>
      <w:r w:rsidRPr="00B510B3">
        <w:rPr>
          <w:rFonts w:ascii="Arial" w:hAnsi="Arial" w:cs="Arial"/>
          <w:i/>
        </w:rPr>
        <w:t xml:space="preserve">Company A is interested in </w:t>
      </w:r>
      <w:proofErr w:type="spellStart"/>
      <w:r w:rsidRPr="00B510B3">
        <w:rPr>
          <w:rFonts w:ascii="Arial" w:hAnsi="Arial" w:cs="Arial"/>
          <w:i/>
        </w:rPr>
        <w:t>prospectivity</w:t>
      </w:r>
      <w:proofErr w:type="spellEnd"/>
      <w:r w:rsidRPr="00B510B3">
        <w:rPr>
          <w:rFonts w:ascii="Arial" w:hAnsi="Arial" w:cs="Arial"/>
          <w:i/>
        </w:rPr>
        <w:t xml:space="preserve"> in 2 parts of block 35/15, in the west with company B, and in the east with company C.</w:t>
      </w:r>
    </w:p>
    <w:p w14:paraId="78CED5DC" w14:textId="77777777" w:rsidR="00B510B3" w:rsidRPr="00B510B3" w:rsidRDefault="00B510B3" w:rsidP="00B510B3">
      <w:pPr>
        <w:ind w:left="720"/>
        <w:rPr>
          <w:rFonts w:ascii="Arial" w:hAnsi="Arial" w:cs="Arial"/>
          <w:i/>
        </w:rPr>
      </w:pPr>
      <w:r w:rsidRPr="00B510B3">
        <w:rPr>
          <w:rFonts w:ascii="Arial" w:hAnsi="Arial" w:cs="Arial"/>
          <w:i/>
        </w:rPr>
        <w:t xml:space="preserve">Given that applications need to be made for whole blocks and company A does not want to bid together with company B &amp; company C – </w:t>
      </w:r>
    </w:p>
    <w:p w14:paraId="31EF5275" w14:textId="77777777" w:rsidR="00B510B3" w:rsidRDefault="00B510B3" w:rsidP="00B510B3">
      <w:pPr>
        <w:ind w:left="720"/>
        <w:rPr>
          <w:rFonts w:ascii="Arial" w:hAnsi="Arial" w:cs="Arial"/>
          <w:i/>
        </w:rPr>
      </w:pPr>
      <w:r w:rsidRPr="00B510B3">
        <w:rPr>
          <w:rFonts w:ascii="Arial" w:hAnsi="Arial" w:cs="Arial"/>
          <w:i/>
        </w:rPr>
        <w:t>Does company A need to submit 2 applications for block 35/15, one with company B with a work programme, clearly indicating area of interest, one with company C with a different area of interest and work programme?  </w:t>
      </w:r>
    </w:p>
    <w:p w14:paraId="453B1DF5" w14:textId="77777777" w:rsidR="007C69EE" w:rsidRPr="00B510B3" w:rsidRDefault="007C69EE" w:rsidP="00B510B3">
      <w:pPr>
        <w:ind w:left="720"/>
        <w:rPr>
          <w:rFonts w:ascii="Arial" w:hAnsi="Arial" w:cs="Arial"/>
          <w:i/>
        </w:rPr>
      </w:pPr>
    </w:p>
    <w:p w14:paraId="07F9167A" w14:textId="77777777" w:rsidR="00B510B3" w:rsidRPr="00B510B3" w:rsidRDefault="00EC5602" w:rsidP="00B510B3">
      <w:pPr>
        <w:rPr>
          <w:rFonts w:ascii="Arial" w:hAnsi="Arial" w:cs="Arial"/>
        </w:rPr>
      </w:pPr>
      <w:r>
        <w:rPr>
          <w:rFonts w:ascii="Arial" w:hAnsi="Arial" w:cs="Arial"/>
          <w:b/>
        </w:rPr>
        <w:t>P</w:t>
      </w:r>
      <w:r w:rsidR="00B510B3" w:rsidRPr="00B510B3">
        <w:rPr>
          <w:rFonts w:ascii="Arial" w:hAnsi="Arial" w:cs="Arial"/>
          <w:b/>
        </w:rPr>
        <w:t>A</w:t>
      </w:r>
      <w:r>
        <w:rPr>
          <w:rFonts w:ascii="Arial" w:hAnsi="Arial" w:cs="Arial"/>
          <w:b/>
        </w:rPr>
        <w:t>9</w:t>
      </w:r>
      <w:r w:rsidR="00B510B3" w:rsidRPr="00B510B3">
        <w:rPr>
          <w:rFonts w:ascii="Arial" w:hAnsi="Arial" w:cs="Arial"/>
          <w:b/>
        </w:rPr>
        <w:t xml:space="preserve">: </w:t>
      </w:r>
      <w:r w:rsidR="00B510B3" w:rsidRPr="00B510B3">
        <w:rPr>
          <w:rFonts w:ascii="Arial" w:hAnsi="Arial" w:cs="Arial"/>
        </w:rPr>
        <w:t xml:space="preserve">There is nothing in the Guidance which says this cannot be done. Whilst whole Block(s) available </w:t>
      </w:r>
      <w:proofErr w:type="gramStart"/>
      <w:r w:rsidR="00B510B3" w:rsidRPr="00B510B3">
        <w:rPr>
          <w:rFonts w:ascii="Arial" w:hAnsi="Arial" w:cs="Arial"/>
        </w:rPr>
        <w:t>have to</w:t>
      </w:r>
      <w:proofErr w:type="gramEnd"/>
      <w:r w:rsidR="00B510B3" w:rsidRPr="00B510B3">
        <w:rPr>
          <w:rFonts w:ascii="Arial" w:hAnsi="Arial" w:cs="Arial"/>
        </w:rPr>
        <w:t xml:space="preserve"> be applied for, Groups can identify preferred areas of the Block(s). Two separate Applications will need to be submitted as the potential Licensees will be different, and separate Work Programmes would apply.</w:t>
      </w:r>
    </w:p>
    <w:p w14:paraId="79DFEAF5" w14:textId="77777777" w:rsidR="00B510B3" w:rsidRPr="00B510B3" w:rsidRDefault="00B510B3" w:rsidP="00B510B3">
      <w:pPr>
        <w:jc w:val="center"/>
        <w:rPr>
          <w:rFonts w:ascii="Arial" w:hAnsi="Arial" w:cs="Arial"/>
        </w:rPr>
      </w:pPr>
      <w:r w:rsidRPr="00B510B3">
        <w:rPr>
          <w:rFonts w:ascii="Arial" w:hAnsi="Arial" w:cs="Arial"/>
        </w:rPr>
        <w:t>---------------------------------------------------------------------</w:t>
      </w:r>
    </w:p>
    <w:p w14:paraId="1E45B264" w14:textId="77777777" w:rsidR="00B510B3" w:rsidRPr="00B510B3" w:rsidRDefault="007C69EE" w:rsidP="00B510B3">
      <w:pPr>
        <w:rPr>
          <w:rFonts w:ascii="Arial" w:hAnsi="Arial" w:cs="Arial"/>
        </w:rPr>
      </w:pPr>
      <w:r>
        <w:rPr>
          <w:rFonts w:ascii="Arial" w:hAnsi="Arial" w:cs="Arial"/>
          <w:b/>
          <w:bCs/>
        </w:rPr>
        <w:t>P</w:t>
      </w:r>
      <w:r w:rsidR="00B510B3" w:rsidRPr="00B510B3">
        <w:rPr>
          <w:rFonts w:ascii="Arial" w:hAnsi="Arial" w:cs="Arial"/>
          <w:b/>
          <w:bCs/>
        </w:rPr>
        <w:t>Q</w:t>
      </w:r>
      <w:r>
        <w:rPr>
          <w:rFonts w:ascii="Arial" w:hAnsi="Arial" w:cs="Arial"/>
          <w:b/>
          <w:bCs/>
        </w:rPr>
        <w:t>10</w:t>
      </w:r>
      <w:r w:rsidR="00B510B3" w:rsidRPr="00B510B3">
        <w:rPr>
          <w:rFonts w:ascii="Arial" w:hAnsi="Arial" w:cs="Arial"/>
          <w:b/>
          <w:bCs/>
        </w:rPr>
        <w:t xml:space="preserve">: </w:t>
      </w:r>
      <w:r w:rsidR="00B510B3" w:rsidRPr="00B510B3">
        <w:rPr>
          <w:rFonts w:ascii="Arial" w:hAnsi="Arial" w:cs="Arial"/>
          <w:bCs/>
        </w:rPr>
        <w:t>What are the Rental Rates for the Second Term?</w:t>
      </w:r>
    </w:p>
    <w:p w14:paraId="72D963B1" w14:textId="77777777" w:rsidR="007C69EE" w:rsidRDefault="007C69EE" w:rsidP="00B510B3">
      <w:pPr>
        <w:rPr>
          <w:rFonts w:ascii="Arial" w:hAnsi="Arial" w:cs="Arial"/>
          <w:b/>
          <w:bCs/>
        </w:rPr>
      </w:pPr>
    </w:p>
    <w:p w14:paraId="18D27471" w14:textId="77777777" w:rsidR="00B510B3" w:rsidRPr="00B510B3" w:rsidRDefault="00EC5602" w:rsidP="00B510B3">
      <w:pPr>
        <w:rPr>
          <w:rFonts w:ascii="Arial" w:hAnsi="Arial" w:cs="Arial"/>
        </w:rPr>
      </w:pPr>
      <w:r>
        <w:rPr>
          <w:rFonts w:ascii="Arial" w:hAnsi="Arial" w:cs="Arial"/>
          <w:b/>
          <w:bCs/>
        </w:rPr>
        <w:t>P</w:t>
      </w:r>
      <w:r w:rsidR="00B510B3" w:rsidRPr="00B510B3">
        <w:rPr>
          <w:rFonts w:ascii="Arial" w:hAnsi="Arial" w:cs="Arial"/>
          <w:b/>
          <w:bCs/>
        </w:rPr>
        <w:t>A</w:t>
      </w:r>
      <w:r>
        <w:rPr>
          <w:rFonts w:ascii="Arial" w:hAnsi="Arial" w:cs="Arial"/>
          <w:b/>
          <w:bCs/>
        </w:rPr>
        <w:t>10</w:t>
      </w:r>
      <w:r w:rsidR="00B510B3" w:rsidRPr="00B510B3">
        <w:rPr>
          <w:rFonts w:ascii="Arial" w:hAnsi="Arial" w:cs="Arial"/>
          <w:b/>
          <w:bCs/>
        </w:rPr>
        <w:t xml:space="preserve">: </w:t>
      </w:r>
      <w:r w:rsidR="00B510B3" w:rsidRPr="00B510B3">
        <w:rPr>
          <w:rFonts w:ascii="Arial" w:hAnsi="Arial" w:cs="Arial"/>
        </w:rPr>
        <w:t>Rentals for the Second and Third Terms are indicated in Annexe 1 of the General Guidance paragraph 1) (d) “on each subsequent date after the Initial Term:” so the annual Rentals increase until the 10</w:t>
      </w:r>
      <w:r w:rsidR="00B510B3" w:rsidRPr="00B510B3">
        <w:rPr>
          <w:rFonts w:ascii="Arial" w:hAnsi="Arial" w:cs="Arial"/>
          <w:vertAlign w:val="superscript"/>
        </w:rPr>
        <w:t>th</w:t>
      </w:r>
      <w:r w:rsidR="00B510B3" w:rsidRPr="00B510B3">
        <w:rPr>
          <w:rFonts w:ascii="Arial" w:hAnsi="Arial" w:cs="Arial"/>
        </w:rPr>
        <w:t xml:space="preserve"> year when they are fixed at £7,500 for the remainder of the Licence.</w:t>
      </w:r>
    </w:p>
    <w:p w14:paraId="5CC9BF55" w14:textId="77777777" w:rsidR="00B510B3" w:rsidRPr="00B510B3" w:rsidRDefault="00B510B3" w:rsidP="00B510B3">
      <w:pPr>
        <w:jc w:val="center"/>
        <w:rPr>
          <w:rFonts w:ascii="Arial" w:hAnsi="Arial" w:cs="Arial"/>
        </w:rPr>
      </w:pPr>
      <w:r w:rsidRPr="00B510B3">
        <w:rPr>
          <w:rFonts w:ascii="Arial" w:hAnsi="Arial" w:cs="Arial"/>
        </w:rPr>
        <w:t>---------------------------------------------------------------------</w:t>
      </w:r>
    </w:p>
    <w:p w14:paraId="42BE0721" w14:textId="77777777" w:rsidR="00B510B3" w:rsidRPr="007C69EE" w:rsidRDefault="007C69EE" w:rsidP="00B510B3">
      <w:pPr>
        <w:rPr>
          <w:rFonts w:ascii="Arial" w:hAnsi="Arial" w:cs="Arial"/>
          <w:b/>
          <w:bCs/>
        </w:rPr>
      </w:pPr>
      <w:r w:rsidRPr="007C69EE">
        <w:rPr>
          <w:rFonts w:ascii="Arial" w:hAnsi="Arial" w:cs="Arial"/>
          <w:b/>
          <w:bCs/>
        </w:rPr>
        <w:t>P</w:t>
      </w:r>
      <w:r w:rsidR="00B510B3" w:rsidRPr="007C69EE">
        <w:rPr>
          <w:rFonts w:ascii="Arial" w:hAnsi="Arial" w:cs="Arial"/>
          <w:b/>
          <w:bCs/>
        </w:rPr>
        <w:t>Q</w:t>
      </w:r>
      <w:r w:rsidRPr="007C69EE">
        <w:rPr>
          <w:rFonts w:ascii="Arial" w:hAnsi="Arial" w:cs="Arial"/>
          <w:b/>
          <w:bCs/>
        </w:rPr>
        <w:t>11</w:t>
      </w:r>
      <w:r w:rsidR="00B510B3" w:rsidRPr="007C69EE">
        <w:rPr>
          <w:rFonts w:ascii="Arial" w:hAnsi="Arial" w:cs="Arial"/>
          <w:b/>
          <w:bCs/>
        </w:rPr>
        <w:t>: What does a Straight to Second Term look like?</w:t>
      </w:r>
    </w:p>
    <w:p w14:paraId="0F24625F" w14:textId="77777777" w:rsidR="007C69EE" w:rsidRDefault="007C69EE" w:rsidP="00B510B3">
      <w:pPr>
        <w:rPr>
          <w:rFonts w:ascii="Arial" w:hAnsi="Arial" w:cs="Arial"/>
          <w:b/>
          <w:bCs/>
        </w:rPr>
      </w:pPr>
    </w:p>
    <w:p w14:paraId="01DE80C7" w14:textId="77777777" w:rsidR="00B510B3" w:rsidRPr="00B510B3" w:rsidRDefault="00EC5602" w:rsidP="00B510B3">
      <w:pPr>
        <w:rPr>
          <w:rFonts w:ascii="Arial" w:hAnsi="Arial" w:cs="Arial"/>
        </w:rPr>
      </w:pPr>
      <w:r>
        <w:rPr>
          <w:rFonts w:ascii="Arial" w:hAnsi="Arial" w:cs="Arial"/>
          <w:b/>
          <w:bCs/>
        </w:rPr>
        <w:t>P</w:t>
      </w:r>
      <w:r w:rsidR="00B510B3" w:rsidRPr="00B510B3">
        <w:rPr>
          <w:rFonts w:ascii="Arial" w:hAnsi="Arial" w:cs="Arial"/>
          <w:b/>
          <w:bCs/>
        </w:rPr>
        <w:t>A</w:t>
      </w:r>
      <w:r>
        <w:rPr>
          <w:rFonts w:ascii="Arial" w:hAnsi="Arial" w:cs="Arial"/>
          <w:b/>
          <w:bCs/>
        </w:rPr>
        <w:t>11</w:t>
      </w:r>
      <w:r w:rsidR="00B510B3" w:rsidRPr="00B510B3">
        <w:rPr>
          <w:rFonts w:ascii="Arial" w:hAnsi="Arial" w:cs="Arial"/>
          <w:b/>
          <w:bCs/>
        </w:rPr>
        <w:t xml:space="preserve">: </w:t>
      </w:r>
      <w:r w:rsidR="00B510B3" w:rsidRPr="00B510B3">
        <w:rPr>
          <w:rFonts w:ascii="Arial" w:hAnsi="Arial" w:cs="Arial"/>
        </w:rPr>
        <w:t>The Second Term, effectively for Appraisal and other work leading to Field Development Plan approval prior to its expiry, is also of flexible duration and should be designed by the Applicant to fit the expected programme of work that will result in an approved FDP. The applicant should outline their proposed work with a timeline showing key milestones and dependencies. In paragraph 15 of the Technical Guidance the OGA states that “The requested duration of the Second Term should be indicated (normally 4 years for Developments or Re-Developments in mature areas but with a maximum duration of 6 years).”</w:t>
      </w:r>
    </w:p>
    <w:p w14:paraId="4FFEF07D" w14:textId="77777777" w:rsidR="00B510B3" w:rsidRPr="00B510B3" w:rsidRDefault="00B510B3" w:rsidP="00B510B3">
      <w:pPr>
        <w:jc w:val="center"/>
        <w:rPr>
          <w:rFonts w:ascii="Arial" w:hAnsi="Arial" w:cs="Arial"/>
        </w:rPr>
      </w:pPr>
      <w:r w:rsidRPr="00B510B3">
        <w:rPr>
          <w:rFonts w:ascii="Arial" w:hAnsi="Arial" w:cs="Arial"/>
        </w:rPr>
        <w:t>---------------------------------------------------------------------</w:t>
      </w:r>
    </w:p>
    <w:p w14:paraId="025CCCF9" w14:textId="77777777" w:rsidR="00B510B3" w:rsidRPr="007C69EE" w:rsidRDefault="007C69EE" w:rsidP="00B510B3">
      <w:pPr>
        <w:rPr>
          <w:rFonts w:ascii="Arial" w:hAnsi="Arial" w:cs="Arial"/>
          <w:b/>
          <w:bCs/>
        </w:rPr>
      </w:pPr>
      <w:r>
        <w:rPr>
          <w:rFonts w:ascii="Arial" w:hAnsi="Arial" w:cs="Arial"/>
          <w:b/>
          <w:bCs/>
        </w:rPr>
        <w:t>P</w:t>
      </w:r>
      <w:r w:rsidR="00B510B3" w:rsidRPr="00B510B3">
        <w:rPr>
          <w:rFonts w:ascii="Arial" w:hAnsi="Arial" w:cs="Arial"/>
          <w:b/>
          <w:bCs/>
        </w:rPr>
        <w:t>Q</w:t>
      </w:r>
      <w:r>
        <w:rPr>
          <w:rFonts w:ascii="Arial" w:hAnsi="Arial" w:cs="Arial"/>
          <w:b/>
          <w:bCs/>
        </w:rPr>
        <w:t>12</w:t>
      </w:r>
      <w:r w:rsidR="00B510B3" w:rsidRPr="00B510B3">
        <w:rPr>
          <w:rFonts w:ascii="Arial" w:hAnsi="Arial" w:cs="Arial"/>
          <w:b/>
          <w:bCs/>
        </w:rPr>
        <w:t xml:space="preserve">: </w:t>
      </w:r>
      <w:r w:rsidR="00B510B3" w:rsidRPr="007C69EE">
        <w:rPr>
          <w:rFonts w:ascii="Arial" w:hAnsi="Arial" w:cs="Arial"/>
          <w:b/>
          <w:bCs/>
        </w:rPr>
        <w:t>Where the Application is for a Straight to Second Term (potential) Licence, what is an appropriate Pre-Development Programme?</w:t>
      </w:r>
    </w:p>
    <w:p w14:paraId="3D30239B" w14:textId="77777777" w:rsidR="00B510B3" w:rsidRPr="00B510B3" w:rsidRDefault="00EC5602" w:rsidP="00B510B3">
      <w:pPr>
        <w:rPr>
          <w:rFonts w:ascii="Arial" w:hAnsi="Arial" w:cs="Arial"/>
        </w:rPr>
      </w:pPr>
      <w:r>
        <w:rPr>
          <w:rFonts w:ascii="Arial" w:hAnsi="Arial" w:cs="Arial"/>
          <w:b/>
          <w:bCs/>
        </w:rPr>
        <w:lastRenderedPageBreak/>
        <w:t>P</w:t>
      </w:r>
      <w:r w:rsidR="00B510B3" w:rsidRPr="00B510B3">
        <w:rPr>
          <w:rFonts w:ascii="Arial" w:hAnsi="Arial" w:cs="Arial"/>
          <w:b/>
          <w:bCs/>
        </w:rPr>
        <w:t>A</w:t>
      </w:r>
      <w:r>
        <w:rPr>
          <w:rFonts w:ascii="Arial" w:hAnsi="Arial" w:cs="Arial"/>
          <w:b/>
          <w:bCs/>
        </w:rPr>
        <w:t>12</w:t>
      </w:r>
      <w:r w:rsidR="00B510B3" w:rsidRPr="00B510B3">
        <w:rPr>
          <w:rFonts w:ascii="Arial" w:hAnsi="Arial" w:cs="Arial"/>
          <w:b/>
          <w:bCs/>
        </w:rPr>
        <w:t xml:space="preserve">: </w:t>
      </w:r>
      <w:r w:rsidR="00B510B3" w:rsidRPr="00B510B3">
        <w:rPr>
          <w:rFonts w:ascii="Arial" w:hAnsi="Arial" w:cs="Arial"/>
        </w:rPr>
        <w:t>A programme of work is required to demonstrate how the Applicant proposes to progress the Discovery, or Field where Production has ceased, to an approvable Field Development Plan (FDP) prior to the end of the Second Term.</w:t>
      </w:r>
    </w:p>
    <w:p w14:paraId="7AD2BF28" w14:textId="77777777" w:rsidR="00B510B3" w:rsidRPr="00B510B3" w:rsidRDefault="00B510B3" w:rsidP="00B510B3">
      <w:pPr>
        <w:rPr>
          <w:rFonts w:ascii="Arial" w:hAnsi="Arial" w:cs="Arial"/>
        </w:rPr>
      </w:pPr>
    </w:p>
    <w:p w14:paraId="01FC6E2D" w14:textId="77777777" w:rsidR="00B510B3" w:rsidRPr="00B510B3" w:rsidRDefault="00B510B3" w:rsidP="00B510B3">
      <w:pPr>
        <w:rPr>
          <w:rFonts w:ascii="Arial" w:hAnsi="Arial" w:cs="Arial"/>
        </w:rPr>
      </w:pPr>
      <w:r w:rsidRPr="00B510B3">
        <w:rPr>
          <w:rFonts w:ascii="Arial" w:hAnsi="Arial" w:cs="Arial"/>
        </w:rPr>
        <w:t>The OGA cannot be prescriptive as to what this Plan may comprise, but it would be expected that a description of the subsurface would be supplied, proposals as to how the hydrocarbons would be developed, proposed facilities concepts and solutions, offtake routes, the application of new and emerging technologies, contracting strategies, etc, as far as is known at the time of Application, and a timeline with the work flow to reach FDP submission demonstrating an understanding of the processes necessary to gain approval.</w:t>
      </w:r>
      <w:r w:rsidRPr="00B510B3">
        <w:rPr>
          <w:rFonts w:ascii="Arial" w:hAnsi="Arial" w:cs="Arial"/>
          <w:b/>
          <w:bCs/>
        </w:rPr>
        <w:t xml:space="preserve"> </w:t>
      </w:r>
      <w:r w:rsidRPr="00B510B3">
        <w:rPr>
          <w:rFonts w:ascii="Arial" w:hAnsi="Arial" w:cs="Arial"/>
        </w:rPr>
        <w:t> </w:t>
      </w:r>
    </w:p>
    <w:p w14:paraId="4C1B6593" w14:textId="77777777" w:rsidR="007C69EE" w:rsidRDefault="007C69EE" w:rsidP="00B510B3">
      <w:pPr>
        <w:rPr>
          <w:rFonts w:ascii="Arial" w:hAnsi="Arial" w:cs="Arial"/>
        </w:rPr>
      </w:pPr>
    </w:p>
    <w:p w14:paraId="52149F35" w14:textId="77777777" w:rsidR="00B510B3" w:rsidRPr="00B510B3" w:rsidRDefault="00B510B3" w:rsidP="00B510B3">
      <w:pPr>
        <w:rPr>
          <w:rFonts w:ascii="Arial" w:hAnsi="Arial" w:cs="Arial"/>
        </w:rPr>
      </w:pPr>
      <w:r w:rsidRPr="00B510B3">
        <w:rPr>
          <w:rFonts w:ascii="Arial" w:hAnsi="Arial" w:cs="Arial"/>
        </w:rPr>
        <w:t>Note that in paragraph 26 of the Technical Guidance, the Work Programme referred to in the first sentence is that for the Initial Term of a Licence. Where there is an Initial Term, there is an obligation on the Licensees to fulfil the elements of a formal Work Programme.</w:t>
      </w:r>
    </w:p>
    <w:p w14:paraId="7C2C86D2" w14:textId="77777777" w:rsidR="00B510B3" w:rsidRPr="00B510B3" w:rsidRDefault="00B510B3" w:rsidP="00B510B3">
      <w:pPr>
        <w:rPr>
          <w:rFonts w:ascii="Arial" w:hAnsi="Arial" w:cs="Arial"/>
        </w:rPr>
      </w:pPr>
      <w:r w:rsidRPr="00B510B3">
        <w:rPr>
          <w:rFonts w:ascii="Arial" w:hAnsi="Arial" w:cs="Arial"/>
        </w:rPr>
        <w:t xml:space="preserve">For the Second Term, the OGA is requesting a programme of work, which is not an obligation, but if no FDP is approved, then the Licence </w:t>
      </w:r>
      <w:proofErr w:type="gramStart"/>
      <w:r w:rsidRPr="00B510B3">
        <w:rPr>
          <w:rFonts w:ascii="Arial" w:hAnsi="Arial" w:cs="Arial"/>
        </w:rPr>
        <w:t>will</w:t>
      </w:r>
      <w:proofErr w:type="gramEnd"/>
      <w:r w:rsidRPr="00B510B3">
        <w:rPr>
          <w:rFonts w:ascii="Arial" w:hAnsi="Arial" w:cs="Arial"/>
        </w:rPr>
        <w:t xml:space="preserve"> Determine at the end of that Term.  Through stewardship activities, the OGA will monitor the programme of work to ensure that sufficient progress is made on an ongoing basis, and that suitable corrective action is taken as and when necessary.</w:t>
      </w:r>
    </w:p>
    <w:p w14:paraId="533D2CEF" w14:textId="77777777" w:rsidR="00B510B3" w:rsidRPr="00B510B3" w:rsidRDefault="00B510B3" w:rsidP="00B510B3">
      <w:pPr>
        <w:jc w:val="center"/>
        <w:rPr>
          <w:rFonts w:ascii="Arial" w:hAnsi="Arial" w:cs="Arial"/>
        </w:rPr>
      </w:pPr>
      <w:r w:rsidRPr="00B510B3">
        <w:rPr>
          <w:rFonts w:ascii="Arial" w:hAnsi="Arial" w:cs="Arial"/>
        </w:rPr>
        <w:t>---------------------------------------------------------------------</w:t>
      </w:r>
    </w:p>
    <w:p w14:paraId="6CF1B665" w14:textId="77777777" w:rsidR="00B510B3" w:rsidRPr="00B510B3" w:rsidRDefault="007C69EE" w:rsidP="00B510B3">
      <w:pPr>
        <w:rPr>
          <w:rFonts w:ascii="Arial" w:hAnsi="Arial" w:cs="Arial"/>
        </w:rPr>
      </w:pPr>
      <w:r>
        <w:rPr>
          <w:rFonts w:ascii="Arial" w:hAnsi="Arial" w:cs="Arial"/>
          <w:b/>
        </w:rPr>
        <w:t>P</w:t>
      </w:r>
      <w:r w:rsidR="00B510B3" w:rsidRPr="00B510B3">
        <w:rPr>
          <w:rFonts w:ascii="Arial" w:hAnsi="Arial" w:cs="Arial"/>
          <w:b/>
        </w:rPr>
        <w:t>Q</w:t>
      </w:r>
      <w:r>
        <w:rPr>
          <w:rFonts w:ascii="Arial" w:hAnsi="Arial" w:cs="Arial"/>
          <w:b/>
        </w:rPr>
        <w:t>13</w:t>
      </w:r>
      <w:r w:rsidR="00B510B3" w:rsidRPr="00B510B3">
        <w:rPr>
          <w:rFonts w:ascii="Arial" w:hAnsi="Arial" w:cs="Arial"/>
        </w:rPr>
        <w:t xml:space="preserve">: </w:t>
      </w:r>
      <w:r w:rsidR="00B510B3" w:rsidRPr="00EC5602">
        <w:rPr>
          <w:rFonts w:ascii="Arial" w:hAnsi="Arial" w:cs="Arial"/>
          <w:b/>
        </w:rPr>
        <w:t>Applicants must provide an Appendix C, concerning HSE related aspects. Is an Environmental Sensitivity Assessment required as part of a potential Initial Term Phase A entry license application or can this be delayed until an appropriate time before commencing offshore operations?</w:t>
      </w:r>
      <w:r w:rsidR="00B510B3" w:rsidRPr="00B510B3">
        <w:rPr>
          <w:rFonts w:ascii="Arial" w:hAnsi="Arial" w:cs="Arial"/>
        </w:rPr>
        <w:t xml:space="preserve"> </w:t>
      </w:r>
    </w:p>
    <w:p w14:paraId="0FEF3E46" w14:textId="77777777" w:rsidR="007C69EE" w:rsidRPr="00EC5602" w:rsidRDefault="007C69EE" w:rsidP="00B510B3">
      <w:pPr>
        <w:rPr>
          <w:rFonts w:ascii="Arial" w:hAnsi="Arial" w:cs="Arial"/>
          <w:b/>
        </w:rPr>
      </w:pPr>
    </w:p>
    <w:p w14:paraId="6834C763" w14:textId="77777777" w:rsidR="00B510B3" w:rsidRPr="00EC5602" w:rsidRDefault="00EC5602" w:rsidP="00B510B3">
      <w:pPr>
        <w:rPr>
          <w:rFonts w:ascii="Arial" w:hAnsi="Arial" w:cs="Arial"/>
        </w:rPr>
      </w:pPr>
      <w:r w:rsidRPr="00EC5602">
        <w:rPr>
          <w:rFonts w:ascii="Arial" w:hAnsi="Arial" w:cs="Arial"/>
          <w:b/>
        </w:rPr>
        <w:t>P</w:t>
      </w:r>
      <w:r w:rsidR="00B510B3" w:rsidRPr="00EC5602">
        <w:rPr>
          <w:rFonts w:ascii="Arial" w:hAnsi="Arial" w:cs="Arial"/>
          <w:b/>
        </w:rPr>
        <w:t>A</w:t>
      </w:r>
      <w:r w:rsidRPr="00EC5602">
        <w:rPr>
          <w:rFonts w:ascii="Arial" w:hAnsi="Arial" w:cs="Arial"/>
          <w:b/>
        </w:rPr>
        <w:t>13</w:t>
      </w:r>
      <w:r w:rsidR="00B510B3" w:rsidRPr="00EC5602">
        <w:rPr>
          <w:rFonts w:ascii="Arial" w:hAnsi="Arial" w:cs="Arial"/>
          <w:b/>
        </w:rPr>
        <w:t>:</w:t>
      </w:r>
      <w:r w:rsidR="00B510B3" w:rsidRPr="00EC5602">
        <w:rPr>
          <w:rFonts w:ascii="Arial" w:hAnsi="Arial" w:cs="Arial"/>
        </w:rPr>
        <w:t xml:space="preserve"> </w:t>
      </w:r>
      <w:r w:rsidRPr="00EC5602">
        <w:rPr>
          <w:rFonts w:ascii="Arial" w:hAnsi="Arial" w:cs="Arial"/>
        </w:rPr>
        <w:t>The</w:t>
      </w:r>
      <w:r w:rsidR="00B510B3" w:rsidRPr="00EC5602">
        <w:rPr>
          <w:rFonts w:ascii="Arial" w:hAnsi="Arial" w:cs="Arial"/>
        </w:rPr>
        <w:t xml:space="preserve"> Department for Business, Energy and Industrial Strategy (BEIS)</w:t>
      </w:r>
      <w:r w:rsidRPr="00EC5602">
        <w:rPr>
          <w:rFonts w:ascii="Arial" w:hAnsi="Arial" w:cs="Arial"/>
        </w:rPr>
        <w:t xml:space="preserve"> have advised that all applications, including those for just a Phase A, will need to be supported by an environmental sensitivity assessment.  </w:t>
      </w:r>
    </w:p>
    <w:p w14:paraId="4BD21780" w14:textId="77777777" w:rsidR="00B510B3" w:rsidRDefault="00B510B3" w:rsidP="00B510B3">
      <w:pPr>
        <w:jc w:val="center"/>
        <w:rPr>
          <w:rFonts w:ascii="Arial" w:hAnsi="Arial" w:cs="Arial"/>
          <w:sz w:val="20"/>
          <w:szCs w:val="20"/>
        </w:rPr>
      </w:pPr>
      <w:r>
        <w:rPr>
          <w:rFonts w:ascii="Arial" w:hAnsi="Arial" w:cs="Arial"/>
          <w:sz w:val="20"/>
          <w:szCs w:val="20"/>
        </w:rPr>
        <w:t>---------------------------------------------------------------------</w:t>
      </w:r>
    </w:p>
    <w:p w14:paraId="55DC70FA" w14:textId="77777777" w:rsidR="00B510B3" w:rsidRDefault="00B510B3" w:rsidP="00B510B3"/>
    <w:p w14:paraId="04E6FABE" w14:textId="77777777" w:rsidR="00B510B3" w:rsidRDefault="00B510B3" w:rsidP="00B510B3">
      <w:pPr>
        <w:rPr>
          <w:rFonts w:ascii="Arial" w:hAnsi="Arial" w:cs="Arial"/>
          <w:sz w:val="20"/>
          <w:szCs w:val="20"/>
        </w:rPr>
      </w:pPr>
    </w:p>
    <w:p w14:paraId="2C2E0F49" w14:textId="77777777" w:rsidR="00836ABB" w:rsidRPr="00B94FD0" w:rsidRDefault="00836ABB" w:rsidP="00836ABB">
      <w:pPr>
        <w:rPr>
          <w:rFonts w:ascii="Arial" w:hAnsi="Arial" w:cs="Arial"/>
          <w:b/>
          <w:bCs/>
          <w:lang w:val="en-US"/>
        </w:rPr>
      </w:pPr>
      <w:r w:rsidRPr="00B94FD0">
        <w:rPr>
          <w:rFonts w:ascii="Arial" w:hAnsi="Arial" w:cs="Arial"/>
          <w:b/>
          <w:bCs/>
          <w:lang w:val="en-US"/>
        </w:rPr>
        <w:t xml:space="preserve">PQ14: Can the OGA further clarify its guidance on the circumstances under which they will accept a well conditional on a well in a </w:t>
      </w:r>
      <w:proofErr w:type="spellStart"/>
      <w:r w:rsidRPr="00B94FD0">
        <w:rPr>
          <w:rFonts w:ascii="Arial" w:hAnsi="Arial" w:cs="Arial"/>
          <w:b/>
          <w:bCs/>
          <w:lang w:val="en-US"/>
        </w:rPr>
        <w:t>neighbouring</w:t>
      </w:r>
      <w:proofErr w:type="spellEnd"/>
      <w:r w:rsidRPr="00B94FD0">
        <w:rPr>
          <w:rFonts w:ascii="Arial" w:hAnsi="Arial" w:cs="Arial"/>
          <w:b/>
          <w:bCs/>
          <w:lang w:val="en-US"/>
        </w:rPr>
        <w:t xml:space="preserve"> </w:t>
      </w:r>
      <w:proofErr w:type="spellStart"/>
      <w:r w:rsidRPr="00B94FD0">
        <w:rPr>
          <w:rFonts w:ascii="Arial" w:hAnsi="Arial" w:cs="Arial"/>
          <w:b/>
          <w:bCs/>
          <w:lang w:val="en-US"/>
        </w:rPr>
        <w:t>licence</w:t>
      </w:r>
      <w:proofErr w:type="spellEnd"/>
      <w:r w:rsidRPr="00B94FD0">
        <w:rPr>
          <w:rFonts w:ascii="Arial" w:hAnsi="Arial" w:cs="Arial"/>
          <w:b/>
          <w:bCs/>
          <w:lang w:val="en-US"/>
        </w:rPr>
        <w:t xml:space="preserve"> block? </w:t>
      </w:r>
    </w:p>
    <w:p w14:paraId="7E0D2933" w14:textId="77777777" w:rsidR="00836ABB" w:rsidRDefault="00836ABB" w:rsidP="00836ABB">
      <w:pPr>
        <w:rPr>
          <w:rFonts w:ascii="Arial" w:hAnsi="Arial" w:cs="Arial"/>
          <w:lang w:val="en-US"/>
        </w:rPr>
      </w:pPr>
      <w:r w:rsidRPr="00B94FD0">
        <w:rPr>
          <w:rFonts w:ascii="Arial" w:hAnsi="Arial" w:cs="Arial"/>
          <w:b/>
          <w:bCs/>
          <w:lang w:val="en-US"/>
        </w:rPr>
        <w:t xml:space="preserve">PA14: </w:t>
      </w:r>
      <w:r w:rsidRPr="00B94FD0">
        <w:rPr>
          <w:rFonts w:ascii="Arial" w:hAnsi="Arial" w:cs="Arial"/>
          <w:lang w:val="en-US"/>
        </w:rPr>
        <w:t xml:space="preserve">A Contingent well would be accepted where a clear link can be demonstrated between the dependencies (geological or operational) between adjacent </w:t>
      </w:r>
      <w:proofErr w:type="spellStart"/>
      <w:r w:rsidRPr="00B94FD0">
        <w:rPr>
          <w:rFonts w:ascii="Arial" w:hAnsi="Arial" w:cs="Arial"/>
          <w:lang w:val="en-US"/>
        </w:rPr>
        <w:t>licences</w:t>
      </w:r>
      <w:proofErr w:type="spellEnd"/>
      <w:r w:rsidRPr="00B94FD0">
        <w:rPr>
          <w:rFonts w:ascii="Arial" w:hAnsi="Arial" w:cs="Arial"/>
          <w:lang w:val="en-US"/>
        </w:rPr>
        <w:t xml:space="preserve">. For example, if new shoot seismic acquisition was planned where there was insufficient seismic to tie to a well in a nearby Block, or where positive </w:t>
      </w:r>
      <w:proofErr w:type="spellStart"/>
      <w:r w:rsidRPr="00B94FD0">
        <w:rPr>
          <w:rFonts w:ascii="Arial" w:hAnsi="Arial" w:cs="Arial"/>
          <w:lang w:val="en-US"/>
        </w:rPr>
        <w:t>derisking</w:t>
      </w:r>
      <w:proofErr w:type="spellEnd"/>
      <w:r w:rsidRPr="00B94FD0">
        <w:rPr>
          <w:rFonts w:ascii="Arial" w:hAnsi="Arial" w:cs="Arial"/>
          <w:lang w:val="en-US"/>
        </w:rPr>
        <w:t xml:space="preserve"> in one well would improve the technical and economic evaluation of a well in the same play segment. </w:t>
      </w:r>
    </w:p>
    <w:p w14:paraId="59F286E2" w14:textId="77777777" w:rsidR="00836ABB" w:rsidRDefault="00836ABB" w:rsidP="00836ABB">
      <w:pPr>
        <w:jc w:val="center"/>
        <w:rPr>
          <w:rFonts w:ascii="Arial" w:hAnsi="Arial" w:cs="Arial"/>
          <w:sz w:val="20"/>
          <w:szCs w:val="20"/>
        </w:rPr>
      </w:pPr>
      <w:r>
        <w:rPr>
          <w:rFonts w:ascii="Arial" w:hAnsi="Arial" w:cs="Arial"/>
          <w:sz w:val="20"/>
          <w:szCs w:val="20"/>
        </w:rPr>
        <w:t>---------------------------------------------------------------------</w:t>
      </w:r>
    </w:p>
    <w:p w14:paraId="482D6198" w14:textId="77777777" w:rsidR="00836ABB" w:rsidRPr="00B94FD0" w:rsidRDefault="00836ABB" w:rsidP="00836ABB">
      <w:pPr>
        <w:rPr>
          <w:rFonts w:ascii="Arial" w:hAnsi="Arial" w:cs="Arial"/>
          <w:b/>
          <w:bCs/>
          <w:lang w:val="en-US"/>
        </w:rPr>
      </w:pPr>
      <w:r w:rsidRPr="00B94FD0">
        <w:rPr>
          <w:rFonts w:ascii="Arial" w:hAnsi="Arial" w:cs="Arial"/>
          <w:b/>
          <w:bCs/>
          <w:lang w:val="en-US"/>
        </w:rPr>
        <w:t xml:space="preserve">PQ15: Can the OGA further clarify why it would not allow contingent wells based on the results of other wells, should there be a potential outcome that the first well effectively condemns the other? </w:t>
      </w:r>
    </w:p>
    <w:p w14:paraId="1005E7BA" w14:textId="77777777" w:rsidR="00836ABB" w:rsidRDefault="00836ABB" w:rsidP="00836ABB">
      <w:pPr>
        <w:rPr>
          <w:rFonts w:ascii="Arial" w:hAnsi="Arial" w:cs="Arial"/>
          <w:lang w:val="en-US"/>
        </w:rPr>
      </w:pPr>
      <w:r w:rsidRPr="00B94FD0">
        <w:rPr>
          <w:rFonts w:ascii="Arial" w:hAnsi="Arial" w:cs="Arial"/>
          <w:b/>
          <w:bCs/>
          <w:lang w:val="en-US"/>
        </w:rPr>
        <w:t xml:space="preserve">PA15: </w:t>
      </w:r>
      <w:r w:rsidRPr="00B94FD0">
        <w:rPr>
          <w:rFonts w:ascii="Arial" w:hAnsi="Arial" w:cs="Arial"/>
          <w:lang w:val="en-US"/>
        </w:rPr>
        <w:t xml:space="preserve">This only applies where the Contingent well is bid in the same </w:t>
      </w:r>
      <w:proofErr w:type="spellStart"/>
      <w:r w:rsidRPr="00B94FD0">
        <w:rPr>
          <w:rFonts w:ascii="Arial" w:hAnsi="Arial" w:cs="Arial"/>
          <w:lang w:val="en-US"/>
        </w:rPr>
        <w:t>Licence</w:t>
      </w:r>
      <w:proofErr w:type="spellEnd"/>
      <w:r w:rsidRPr="00B94FD0">
        <w:rPr>
          <w:rFonts w:ascii="Arial" w:hAnsi="Arial" w:cs="Arial"/>
          <w:lang w:val="en-US"/>
        </w:rPr>
        <w:t xml:space="preserve"> Application as a Firm well. It would therefore be in effect a double bid.  Only one well commitment will be counted per </w:t>
      </w:r>
      <w:proofErr w:type="spellStart"/>
      <w:r w:rsidRPr="00B94FD0">
        <w:rPr>
          <w:rFonts w:ascii="Arial" w:hAnsi="Arial" w:cs="Arial"/>
          <w:lang w:val="en-US"/>
        </w:rPr>
        <w:t>licence</w:t>
      </w:r>
      <w:proofErr w:type="spellEnd"/>
      <w:r w:rsidRPr="00B94FD0">
        <w:rPr>
          <w:rFonts w:ascii="Arial" w:hAnsi="Arial" w:cs="Arial"/>
          <w:lang w:val="en-US"/>
        </w:rPr>
        <w:t>.</w:t>
      </w:r>
    </w:p>
    <w:p w14:paraId="4D978670" w14:textId="77777777" w:rsidR="00836ABB" w:rsidRDefault="00836ABB" w:rsidP="00836ABB">
      <w:pPr>
        <w:jc w:val="center"/>
        <w:rPr>
          <w:rFonts w:ascii="Arial" w:hAnsi="Arial" w:cs="Arial"/>
          <w:sz w:val="20"/>
          <w:szCs w:val="20"/>
        </w:rPr>
      </w:pPr>
      <w:r>
        <w:rPr>
          <w:rFonts w:ascii="Arial" w:hAnsi="Arial" w:cs="Arial"/>
          <w:sz w:val="20"/>
          <w:szCs w:val="20"/>
        </w:rPr>
        <w:t>---------------------------------------------------------------------</w:t>
      </w:r>
    </w:p>
    <w:p w14:paraId="490D558C" w14:textId="77777777" w:rsidR="00836ABB" w:rsidRPr="00B94FD0" w:rsidRDefault="00836ABB" w:rsidP="00836ABB">
      <w:pPr>
        <w:rPr>
          <w:rFonts w:ascii="Arial" w:hAnsi="Arial" w:cs="Arial"/>
          <w:b/>
          <w:bCs/>
          <w:color w:val="000000"/>
          <w:lang w:val="en-US" w:eastAsia="en-GB"/>
        </w:rPr>
      </w:pPr>
      <w:r w:rsidRPr="00B94FD0">
        <w:rPr>
          <w:rFonts w:ascii="Arial" w:hAnsi="Arial" w:cs="Arial"/>
          <w:b/>
          <w:bCs/>
          <w:lang w:val="en-US"/>
        </w:rPr>
        <w:t>PQ16:</w:t>
      </w:r>
      <w:r w:rsidRPr="00B94FD0">
        <w:rPr>
          <w:rFonts w:ascii="Arial" w:hAnsi="Arial" w:cs="Arial"/>
          <w:lang w:val="en-US"/>
        </w:rPr>
        <w:t xml:space="preserve"> </w:t>
      </w:r>
      <w:r w:rsidRPr="00B94FD0">
        <w:rPr>
          <w:rFonts w:ascii="Arial" w:hAnsi="Arial" w:cs="Arial"/>
          <w:b/>
          <w:bCs/>
          <w:lang w:val="en-US"/>
        </w:rPr>
        <w:t>Can OGA please confirm how it will protect the confidentiality of technology</w:t>
      </w:r>
      <w:r w:rsidRPr="00B94FD0">
        <w:rPr>
          <w:rFonts w:ascii="Arial" w:hAnsi="Arial" w:cs="Arial"/>
          <w:b/>
          <w:bCs/>
          <w:color w:val="000000"/>
          <w:lang w:val="en-US" w:eastAsia="en-GB"/>
        </w:rPr>
        <w:t xml:space="preserve"> plans and seismic processing technologies as expressed in Appendices B and arising from interviews?</w:t>
      </w:r>
    </w:p>
    <w:p w14:paraId="1F97B40D" w14:textId="77777777" w:rsidR="00836ABB" w:rsidRPr="00B94FD0" w:rsidRDefault="00836ABB" w:rsidP="00836ABB">
      <w:pPr>
        <w:rPr>
          <w:rFonts w:ascii="Arial" w:hAnsi="Arial" w:cs="Arial"/>
          <w:color w:val="000000"/>
          <w:lang w:eastAsia="en-GB"/>
        </w:rPr>
      </w:pPr>
      <w:r w:rsidRPr="00B94FD0">
        <w:rPr>
          <w:rFonts w:ascii="Arial" w:hAnsi="Arial" w:cs="Arial"/>
          <w:b/>
          <w:bCs/>
          <w:lang w:val="en-US"/>
        </w:rPr>
        <w:lastRenderedPageBreak/>
        <w:t xml:space="preserve">PA16: </w:t>
      </w:r>
      <w:r w:rsidRPr="00B94FD0">
        <w:rPr>
          <w:rFonts w:ascii="Arial" w:hAnsi="Arial" w:cs="Arial"/>
          <w:lang w:val="en-US"/>
        </w:rPr>
        <w:t xml:space="preserve">The OGA only publishes Work </w:t>
      </w:r>
      <w:proofErr w:type="spellStart"/>
      <w:r w:rsidRPr="00B94FD0">
        <w:rPr>
          <w:rFonts w:ascii="Arial" w:hAnsi="Arial" w:cs="Arial"/>
          <w:lang w:val="en-US"/>
        </w:rPr>
        <w:t>Programmes</w:t>
      </w:r>
      <w:proofErr w:type="spellEnd"/>
      <w:r w:rsidRPr="00B94FD0">
        <w:rPr>
          <w:rFonts w:ascii="Arial" w:hAnsi="Arial" w:cs="Arial"/>
          <w:lang w:val="en-US"/>
        </w:rPr>
        <w:t xml:space="preserve"> of successful Applications when a </w:t>
      </w:r>
      <w:proofErr w:type="spellStart"/>
      <w:r w:rsidRPr="00B94FD0">
        <w:rPr>
          <w:rFonts w:ascii="Arial" w:hAnsi="Arial" w:cs="Arial"/>
          <w:lang w:val="en-US"/>
        </w:rPr>
        <w:t>Licence</w:t>
      </w:r>
      <w:proofErr w:type="spellEnd"/>
      <w:r w:rsidRPr="00B94FD0">
        <w:rPr>
          <w:rFonts w:ascii="Arial" w:hAnsi="Arial" w:cs="Arial"/>
          <w:lang w:val="en-US"/>
        </w:rPr>
        <w:t xml:space="preserve"> becomes extant. Those Work </w:t>
      </w:r>
      <w:proofErr w:type="spellStart"/>
      <w:r w:rsidRPr="00B94FD0">
        <w:rPr>
          <w:rFonts w:ascii="Arial" w:hAnsi="Arial" w:cs="Arial"/>
          <w:lang w:val="en-US"/>
        </w:rPr>
        <w:t>Programmes</w:t>
      </w:r>
      <w:proofErr w:type="spellEnd"/>
      <w:r w:rsidRPr="00B94FD0">
        <w:rPr>
          <w:rFonts w:ascii="Arial" w:hAnsi="Arial" w:cs="Arial"/>
          <w:lang w:val="en-US"/>
        </w:rPr>
        <w:t xml:space="preserve"> are usually generic rather than specific so details of technology plans and seismic processing technologies will not be released. All commercially sensitive documentation provided to the OGA should be clearly marked as such so that the OGA can apply the relevant IT policies to protect the applicant’s intellectual property.</w:t>
      </w:r>
    </w:p>
    <w:p w14:paraId="19E3288C" w14:textId="77777777" w:rsidR="00836ABB" w:rsidRDefault="00836ABB" w:rsidP="00836ABB">
      <w:pPr>
        <w:jc w:val="center"/>
        <w:rPr>
          <w:rFonts w:ascii="Arial" w:hAnsi="Arial" w:cs="Arial"/>
          <w:sz w:val="20"/>
          <w:szCs w:val="20"/>
        </w:rPr>
      </w:pPr>
      <w:r>
        <w:rPr>
          <w:rFonts w:ascii="Arial" w:hAnsi="Arial" w:cs="Arial"/>
          <w:sz w:val="20"/>
          <w:szCs w:val="20"/>
        </w:rPr>
        <w:t>---------------------------------------------------------------------</w:t>
      </w:r>
    </w:p>
    <w:p w14:paraId="3A9743D3" w14:textId="77777777" w:rsidR="00836ABB" w:rsidRPr="00B94FD0" w:rsidRDefault="00836ABB" w:rsidP="00836ABB">
      <w:pPr>
        <w:rPr>
          <w:rFonts w:ascii="Arial" w:hAnsi="Arial" w:cs="Arial"/>
          <w:lang w:val="en-US" w:eastAsia="en-GB"/>
        </w:rPr>
      </w:pPr>
      <w:r w:rsidRPr="00B94FD0">
        <w:rPr>
          <w:rFonts w:ascii="Arial" w:hAnsi="Arial" w:cs="Arial"/>
          <w:b/>
          <w:bCs/>
          <w:lang w:val="en-US" w:eastAsia="en-GB"/>
        </w:rPr>
        <w:t xml:space="preserve">PQ17: What is the mechanism for the Licensee dropping the </w:t>
      </w:r>
      <w:proofErr w:type="spellStart"/>
      <w:r w:rsidRPr="00B94FD0">
        <w:rPr>
          <w:rFonts w:ascii="Arial" w:hAnsi="Arial" w:cs="Arial"/>
          <w:b/>
          <w:bCs/>
          <w:lang w:val="en-US" w:eastAsia="en-GB"/>
        </w:rPr>
        <w:t>licence</w:t>
      </w:r>
      <w:proofErr w:type="spellEnd"/>
      <w:r w:rsidRPr="00B94FD0">
        <w:rPr>
          <w:rFonts w:ascii="Arial" w:hAnsi="Arial" w:cs="Arial"/>
          <w:b/>
          <w:bCs/>
          <w:lang w:val="en-US" w:eastAsia="en-GB"/>
        </w:rPr>
        <w:t xml:space="preserve"> between Phases of the Initial Term. For instance, if the licensee does not see sufficient potential after Phase A, are they able to relinquish the </w:t>
      </w:r>
      <w:proofErr w:type="spellStart"/>
      <w:r w:rsidRPr="00B94FD0">
        <w:rPr>
          <w:rFonts w:ascii="Arial" w:hAnsi="Arial" w:cs="Arial"/>
          <w:b/>
          <w:bCs/>
          <w:lang w:val="en-US" w:eastAsia="en-GB"/>
        </w:rPr>
        <w:t>licence</w:t>
      </w:r>
      <w:proofErr w:type="spellEnd"/>
      <w:r w:rsidRPr="00B94FD0">
        <w:rPr>
          <w:rFonts w:ascii="Arial" w:hAnsi="Arial" w:cs="Arial"/>
          <w:b/>
          <w:bCs/>
          <w:lang w:val="en-US" w:eastAsia="en-GB"/>
        </w:rPr>
        <w:t xml:space="preserve"> at that stage, before committing to seismic acquisition in Phase B? Considering the points system then, is seismic acquisition within the Geotechnical work </w:t>
      </w:r>
      <w:proofErr w:type="spellStart"/>
      <w:r w:rsidRPr="00B94FD0">
        <w:rPr>
          <w:rFonts w:ascii="Arial" w:hAnsi="Arial" w:cs="Arial"/>
          <w:b/>
          <w:bCs/>
          <w:lang w:val="en-US" w:eastAsia="en-GB"/>
        </w:rPr>
        <w:t>programme</w:t>
      </w:r>
      <w:proofErr w:type="spellEnd"/>
      <w:r w:rsidRPr="00B94FD0">
        <w:rPr>
          <w:rFonts w:ascii="Arial" w:hAnsi="Arial" w:cs="Arial"/>
          <w:b/>
          <w:bCs/>
          <w:lang w:val="en-US" w:eastAsia="en-GB"/>
        </w:rPr>
        <w:t xml:space="preserve"> considered to be ‘committed’, or does an applicant win points for including seismic in Phase B, even though the </w:t>
      </w:r>
      <w:proofErr w:type="spellStart"/>
      <w:r w:rsidRPr="00B94FD0">
        <w:rPr>
          <w:rFonts w:ascii="Arial" w:hAnsi="Arial" w:cs="Arial"/>
          <w:b/>
          <w:bCs/>
          <w:lang w:val="en-US" w:eastAsia="en-GB"/>
        </w:rPr>
        <w:t>licence</w:t>
      </w:r>
      <w:proofErr w:type="spellEnd"/>
      <w:r w:rsidRPr="00B94FD0">
        <w:rPr>
          <w:rFonts w:ascii="Arial" w:hAnsi="Arial" w:cs="Arial"/>
          <w:b/>
          <w:bCs/>
          <w:lang w:val="en-US" w:eastAsia="en-GB"/>
        </w:rPr>
        <w:t xml:space="preserve"> can be dropped after Phase A?</w:t>
      </w:r>
    </w:p>
    <w:p w14:paraId="5811BBA2" w14:textId="77777777" w:rsidR="00836ABB" w:rsidRPr="00B94FD0" w:rsidRDefault="00836ABB" w:rsidP="00836ABB">
      <w:pPr>
        <w:rPr>
          <w:rFonts w:ascii="Arial" w:hAnsi="Arial" w:cs="Arial"/>
          <w:lang w:val="en-US" w:eastAsia="en-GB"/>
        </w:rPr>
      </w:pPr>
    </w:p>
    <w:p w14:paraId="3B5828B8" w14:textId="77777777" w:rsidR="00836ABB" w:rsidRPr="00B94FD0" w:rsidRDefault="00836ABB" w:rsidP="00836ABB">
      <w:pPr>
        <w:rPr>
          <w:rFonts w:ascii="Arial" w:hAnsi="Arial" w:cs="Arial"/>
          <w:lang w:val="en-US" w:eastAsia="en-GB"/>
        </w:rPr>
      </w:pPr>
      <w:r w:rsidRPr="00B94FD0">
        <w:rPr>
          <w:rFonts w:ascii="Arial" w:hAnsi="Arial" w:cs="Arial"/>
          <w:b/>
          <w:bCs/>
          <w:lang w:val="en-US" w:eastAsia="en-GB"/>
        </w:rPr>
        <w:t xml:space="preserve">PA17: </w:t>
      </w:r>
      <w:r w:rsidRPr="00B94FD0">
        <w:rPr>
          <w:rFonts w:ascii="Arial" w:hAnsi="Arial" w:cs="Arial"/>
          <w:lang w:val="en-US" w:eastAsia="en-GB"/>
        </w:rPr>
        <w:t xml:space="preserve">An Applicant for a Phase </w:t>
      </w:r>
      <w:proofErr w:type="gramStart"/>
      <w:r w:rsidRPr="00B94FD0">
        <w:rPr>
          <w:rFonts w:ascii="Arial" w:hAnsi="Arial" w:cs="Arial"/>
          <w:lang w:val="en-US" w:eastAsia="en-GB"/>
        </w:rPr>
        <w:t>A</w:t>
      </w:r>
      <w:proofErr w:type="gramEnd"/>
      <w:r w:rsidRPr="00B94FD0">
        <w:rPr>
          <w:rFonts w:ascii="Arial" w:hAnsi="Arial" w:cs="Arial"/>
          <w:lang w:val="en-US" w:eastAsia="en-GB"/>
        </w:rPr>
        <w:t xml:space="preserve"> Innovate </w:t>
      </w:r>
      <w:proofErr w:type="spellStart"/>
      <w:r w:rsidRPr="00B94FD0">
        <w:rPr>
          <w:rFonts w:ascii="Arial" w:hAnsi="Arial" w:cs="Arial"/>
          <w:lang w:val="en-US" w:eastAsia="en-GB"/>
        </w:rPr>
        <w:t>Licence</w:t>
      </w:r>
      <w:proofErr w:type="spellEnd"/>
      <w:r w:rsidRPr="00B94FD0">
        <w:rPr>
          <w:rFonts w:ascii="Arial" w:hAnsi="Arial" w:cs="Arial"/>
          <w:lang w:val="en-US" w:eastAsia="en-GB"/>
        </w:rPr>
        <w:t xml:space="preserve"> who fulfills the Work </w:t>
      </w:r>
      <w:proofErr w:type="spellStart"/>
      <w:r w:rsidRPr="00B94FD0">
        <w:rPr>
          <w:rFonts w:ascii="Arial" w:hAnsi="Arial" w:cs="Arial"/>
          <w:lang w:val="en-US" w:eastAsia="en-GB"/>
        </w:rPr>
        <w:t>Programme</w:t>
      </w:r>
      <w:proofErr w:type="spellEnd"/>
      <w:r w:rsidRPr="00B94FD0">
        <w:rPr>
          <w:rFonts w:ascii="Arial" w:hAnsi="Arial" w:cs="Arial"/>
          <w:lang w:val="en-US" w:eastAsia="en-GB"/>
        </w:rPr>
        <w:t xml:space="preserve"> for that Phase need not continue the </w:t>
      </w:r>
      <w:proofErr w:type="spellStart"/>
      <w:r w:rsidRPr="00B94FD0">
        <w:rPr>
          <w:rFonts w:ascii="Arial" w:hAnsi="Arial" w:cs="Arial"/>
          <w:lang w:val="en-US" w:eastAsia="en-GB"/>
        </w:rPr>
        <w:t>Licence</w:t>
      </w:r>
      <w:proofErr w:type="spellEnd"/>
      <w:r w:rsidRPr="00B94FD0">
        <w:rPr>
          <w:rFonts w:ascii="Arial" w:hAnsi="Arial" w:cs="Arial"/>
          <w:lang w:val="en-US" w:eastAsia="en-GB"/>
        </w:rPr>
        <w:t xml:space="preserve"> into Phase B if the evidence does not support further work. A discussion will take place as necessary with the OGA towards the end of each Phase to determine </w:t>
      </w:r>
      <w:proofErr w:type="gramStart"/>
      <w:r w:rsidRPr="00B94FD0">
        <w:rPr>
          <w:rFonts w:ascii="Arial" w:hAnsi="Arial" w:cs="Arial"/>
          <w:lang w:val="en-US" w:eastAsia="en-GB"/>
        </w:rPr>
        <w:t>whether or not</w:t>
      </w:r>
      <w:proofErr w:type="gramEnd"/>
      <w:r w:rsidRPr="00B94FD0">
        <w:rPr>
          <w:rFonts w:ascii="Arial" w:hAnsi="Arial" w:cs="Arial"/>
          <w:lang w:val="en-US" w:eastAsia="en-GB"/>
        </w:rPr>
        <w:t xml:space="preserve"> the Licensees wish the </w:t>
      </w:r>
      <w:proofErr w:type="spellStart"/>
      <w:r w:rsidRPr="00B94FD0">
        <w:rPr>
          <w:rFonts w:ascii="Arial" w:hAnsi="Arial" w:cs="Arial"/>
          <w:lang w:val="en-US" w:eastAsia="en-GB"/>
        </w:rPr>
        <w:t>Licence</w:t>
      </w:r>
      <w:proofErr w:type="spellEnd"/>
      <w:r w:rsidRPr="00B94FD0">
        <w:rPr>
          <w:rFonts w:ascii="Arial" w:hAnsi="Arial" w:cs="Arial"/>
          <w:lang w:val="en-US" w:eastAsia="en-GB"/>
        </w:rPr>
        <w:t xml:space="preserve"> to continue into the next phase, and if so what the actual </w:t>
      </w:r>
      <w:proofErr w:type="spellStart"/>
      <w:r w:rsidRPr="00B94FD0">
        <w:rPr>
          <w:rFonts w:ascii="Arial" w:hAnsi="Arial" w:cs="Arial"/>
          <w:lang w:val="en-US" w:eastAsia="en-GB"/>
        </w:rPr>
        <w:t>programme</w:t>
      </w:r>
      <w:proofErr w:type="spellEnd"/>
      <w:r w:rsidRPr="00B94FD0">
        <w:rPr>
          <w:rFonts w:ascii="Arial" w:hAnsi="Arial" w:cs="Arial"/>
          <w:lang w:val="en-US" w:eastAsia="en-GB"/>
        </w:rPr>
        <w:t xml:space="preserve"> of work will be.  Entry to Phase C will be on the premise of a Firm well only.</w:t>
      </w:r>
    </w:p>
    <w:p w14:paraId="401EDFC7" w14:textId="77777777" w:rsidR="00836ABB" w:rsidRPr="00B94FD0" w:rsidRDefault="00836ABB" w:rsidP="00836ABB">
      <w:pPr>
        <w:rPr>
          <w:rFonts w:ascii="Arial" w:hAnsi="Arial" w:cs="Arial"/>
          <w:lang w:val="en-US" w:eastAsia="en-GB"/>
        </w:rPr>
      </w:pPr>
      <w:r w:rsidRPr="00B94FD0">
        <w:rPr>
          <w:rFonts w:ascii="Arial" w:hAnsi="Arial" w:cs="Arial"/>
          <w:lang w:val="en-US" w:eastAsia="en-GB"/>
        </w:rPr>
        <w:t xml:space="preserve">If Contingent seismic is indicated where the start Phase is Phase A, the discussion indicated above will determine whether the </w:t>
      </w:r>
      <w:proofErr w:type="spellStart"/>
      <w:r w:rsidRPr="00B94FD0">
        <w:rPr>
          <w:rFonts w:ascii="Arial" w:hAnsi="Arial" w:cs="Arial"/>
          <w:lang w:val="en-US" w:eastAsia="en-GB"/>
        </w:rPr>
        <w:t>Licence</w:t>
      </w:r>
      <w:proofErr w:type="spellEnd"/>
      <w:r w:rsidRPr="00B94FD0">
        <w:rPr>
          <w:rFonts w:ascii="Arial" w:hAnsi="Arial" w:cs="Arial"/>
          <w:lang w:val="en-US" w:eastAsia="en-GB"/>
        </w:rPr>
        <w:t xml:space="preserve"> would continue into Phase B with the Contingent Seismic, which at that point would become Firm. Whether an Applicant wins points for including seismic in Phase B, even though the </w:t>
      </w:r>
      <w:proofErr w:type="spellStart"/>
      <w:r w:rsidRPr="00B94FD0">
        <w:rPr>
          <w:rFonts w:ascii="Arial" w:hAnsi="Arial" w:cs="Arial"/>
          <w:lang w:val="en-US" w:eastAsia="en-GB"/>
        </w:rPr>
        <w:t>Licence</w:t>
      </w:r>
      <w:proofErr w:type="spellEnd"/>
      <w:r w:rsidRPr="00B94FD0">
        <w:rPr>
          <w:rFonts w:ascii="Arial" w:hAnsi="Arial" w:cs="Arial"/>
          <w:lang w:val="en-US" w:eastAsia="en-GB"/>
        </w:rPr>
        <w:t xml:space="preserve"> can be dropped in Phase A, has been answered previously. </w:t>
      </w:r>
      <w:r w:rsidRPr="00B94FD0">
        <w:rPr>
          <w:rFonts w:ascii="Arial" w:hAnsi="Arial" w:cs="Arial"/>
          <w:b/>
          <w:bCs/>
          <w:color w:val="FF0000"/>
          <w:lang w:val="en-US" w:eastAsia="en-GB"/>
        </w:rPr>
        <w:t xml:space="preserve">[PA6] </w:t>
      </w:r>
      <w:r w:rsidRPr="00B94FD0">
        <w:rPr>
          <w:rFonts w:ascii="Arial" w:hAnsi="Arial" w:cs="Arial"/>
          <w:lang w:val="en-US" w:eastAsia="en-GB"/>
        </w:rPr>
        <w:t> </w:t>
      </w:r>
    </w:p>
    <w:p w14:paraId="7B7BB353" w14:textId="77777777" w:rsidR="00836ABB" w:rsidRDefault="00836ABB" w:rsidP="00836ABB">
      <w:pPr>
        <w:jc w:val="center"/>
        <w:rPr>
          <w:rFonts w:ascii="Arial" w:hAnsi="Arial" w:cs="Arial"/>
          <w:sz w:val="20"/>
          <w:szCs w:val="20"/>
        </w:rPr>
      </w:pPr>
      <w:r>
        <w:rPr>
          <w:rFonts w:ascii="Arial" w:hAnsi="Arial" w:cs="Arial"/>
          <w:sz w:val="20"/>
          <w:szCs w:val="20"/>
        </w:rPr>
        <w:t>---------------------------------------------------------------------</w:t>
      </w:r>
    </w:p>
    <w:p w14:paraId="539B75C8" w14:textId="77777777" w:rsidR="00836ABB" w:rsidRPr="00B94FD0" w:rsidRDefault="00836ABB" w:rsidP="00836ABB">
      <w:pPr>
        <w:pStyle w:val="PlainText"/>
        <w:rPr>
          <w:rFonts w:ascii="Arial" w:hAnsi="Arial" w:cs="Arial"/>
          <w:b/>
          <w:bCs/>
        </w:rPr>
      </w:pPr>
      <w:r w:rsidRPr="00B94FD0">
        <w:rPr>
          <w:rFonts w:ascii="Arial" w:hAnsi="Arial" w:cs="Arial"/>
          <w:b/>
          <w:bCs/>
        </w:rPr>
        <w:t>PQ18:</w:t>
      </w:r>
      <w:r w:rsidRPr="00B94FD0">
        <w:rPr>
          <w:rFonts w:ascii="Arial" w:hAnsi="Arial" w:cs="Arial"/>
        </w:rPr>
        <w:t xml:space="preserve"> </w:t>
      </w:r>
      <w:r w:rsidRPr="00B94FD0">
        <w:rPr>
          <w:rFonts w:ascii="Arial" w:hAnsi="Arial" w:cs="Arial"/>
          <w:b/>
          <w:bCs/>
        </w:rPr>
        <w:t xml:space="preserve">The Q&amp;A (PA6), on whether a contingent well attracts marks, appears somewhat inconsistent. It states that a contingent well will not attract any actual Marks directly as the financial capacity to drill will not have been considered. </w:t>
      </w:r>
      <w:proofErr w:type="gramStart"/>
      <w:r w:rsidRPr="00B94FD0">
        <w:rPr>
          <w:rFonts w:ascii="Arial" w:hAnsi="Arial" w:cs="Arial"/>
          <w:b/>
          <w:bCs/>
        </w:rPr>
        <w:t>However</w:t>
      </w:r>
      <w:proofErr w:type="gramEnd"/>
      <w:r w:rsidRPr="00B94FD0">
        <w:rPr>
          <w:rFonts w:ascii="Arial" w:hAnsi="Arial" w:cs="Arial"/>
          <w:b/>
          <w:bCs/>
        </w:rPr>
        <w:t xml:space="preserve"> it goes on to say that marks will be attracted where a contingent well is considered as part of the phase A/B timing commitment. Why does a lack of financial capacity consideration rule out one form of assessment but not the other? </w:t>
      </w:r>
    </w:p>
    <w:p w14:paraId="0E025299" w14:textId="77777777" w:rsidR="00836ABB" w:rsidRPr="00B94FD0" w:rsidRDefault="00836ABB" w:rsidP="00836ABB">
      <w:pPr>
        <w:pStyle w:val="PlainText"/>
        <w:rPr>
          <w:rFonts w:ascii="Arial" w:hAnsi="Arial" w:cs="Arial"/>
        </w:rPr>
      </w:pPr>
    </w:p>
    <w:p w14:paraId="0A27825D" w14:textId="77777777" w:rsidR="00836ABB" w:rsidRPr="00B94FD0" w:rsidRDefault="00836ABB" w:rsidP="00836ABB">
      <w:pPr>
        <w:pStyle w:val="PlainText"/>
        <w:rPr>
          <w:rFonts w:ascii="Arial" w:hAnsi="Arial" w:cs="Arial"/>
        </w:rPr>
      </w:pPr>
      <w:r w:rsidRPr="00B94FD0">
        <w:rPr>
          <w:rFonts w:ascii="Arial" w:hAnsi="Arial" w:cs="Arial"/>
          <w:b/>
          <w:bCs/>
        </w:rPr>
        <w:t xml:space="preserve">PA18: </w:t>
      </w:r>
      <w:r w:rsidRPr="00B94FD0">
        <w:rPr>
          <w:rFonts w:ascii="Arial" w:hAnsi="Arial" w:cs="Arial"/>
        </w:rPr>
        <w:t xml:space="preserve">A Contingent well suggested where the start Phase is Phase A will not attract Marks. Where the Start Phase is Phase B, Financial viability will be checked for the new shoot seismic which, by definition, requires a Contingent well to be committed such that the OGA makes the decision at the end of Phase B as to whether a well is drilled but the Financial capability to </w:t>
      </w:r>
      <w:proofErr w:type="gramStart"/>
      <w:r w:rsidRPr="00B94FD0">
        <w:rPr>
          <w:rFonts w:ascii="Arial" w:hAnsi="Arial" w:cs="Arial"/>
        </w:rPr>
        <w:t>actually drill</w:t>
      </w:r>
      <w:proofErr w:type="gramEnd"/>
      <w:r w:rsidRPr="00B94FD0">
        <w:rPr>
          <w:rFonts w:ascii="Arial" w:hAnsi="Arial" w:cs="Arial"/>
        </w:rPr>
        <w:t xml:space="preserve"> the well will not be assessed going from Phase A to Phase B. Towards the end of Phase B, discussion will take place with the OGA as to whether a well will be drilled or not. A waiver on Technical grounds may be sought, or commercial criteria applied if a prospect remains but is not considered economic to drill. If neither of those criteria are proven then the OGA would expect the Licence to move into Phase C with a Firm well.</w:t>
      </w:r>
    </w:p>
    <w:p w14:paraId="28C0E7E7" w14:textId="77777777" w:rsidR="00836ABB" w:rsidRDefault="00836ABB" w:rsidP="00836ABB">
      <w:pPr>
        <w:jc w:val="center"/>
        <w:rPr>
          <w:rFonts w:ascii="Arial" w:hAnsi="Arial" w:cs="Arial"/>
          <w:sz w:val="20"/>
          <w:szCs w:val="20"/>
        </w:rPr>
      </w:pPr>
      <w:r>
        <w:rPr>
          <w:rFonts w:ascii="Arial" w:hAnsi="Arial" w:cs="Arial"/>
          <w:sz w:val="20"/>
          <w:szCs w:val="20"/>
        </w:rPr>
        <w:t>---------------------------------------------------------------------</w:t>
      </w:r>
    </w:p>
    <w:p w14:paraId="0B8D52A7" w14:textId="77777777" w:rsidR="00836ABB" w:rsidRPr="00B94FD0" w:rsidRDefault="00836ABB" w:rsidP="00836ABB">
      <w:pPr>
        <w:pStyle w:val="PlainText"/>
        <w:rPr>
          <w:rFonts w:ascii="Arial" w:hAnsi="Arial" w:cs="Arial"/>
        </w:rPr>
      </w:pPr>
    </w:p>
    <w:p w14:paraId="47A879F4" w14:textId="77777777" w:rsidR="00836ABB" w:rsidRPr="00B94FD0" w:rsidRDefault="00836ABB" w:rsidP="00836ABB">
      <w:pPr>
        <w:pStyle w:val="PlainText"/>
        <w:rPr>
          <w:rFonts w:ascii="Arial" w:hAnsi="Arial" w:cs="Arial"/>
          <w:b/>
          <w:bCs/>
        </w:rPr>
      </w:pPr>
      <w:r w:rsidRPr="00B94FD0">
        <w:rPr>
          <w:rFonts w:ascii="Arial" w:hAnsi="Arial" w:cs="Arial"/>
          <w:b/>
          <w:bCs/>
        </w:rPr>
        <w:t xml:space="preserve">PQ19: What is the definition of contingent seismic? There appears to be subtle differences in 29th round licences where some seismic contingency requirements include the proviso condition ‘unless the OGA agrees that’ whilst others only </w:t>
      </w:r>
      <w:proofErr w:type="gramStart"/>
      <w:r w:rsidRPr="00B94FD0">
        <w:rPr>
          <w:rFonts w:ascii="Arial" w:hAnsi="Arial" w:cs="Arial"/>
          <w:b/>
          <w:bCs/>
        </w:rPr>
        <w:t>say</w:t>
      </w:r>
      <w:proofErr w:type="gramEnd"/>
      <w:r w:rsidRPr="00B94FD0">
        <w:rPr>
          <w:rFonts w:ascii="Arial" w:hAnsi="Arial" w:cs="Arial"/>
          <w:b/>
          <w:bCs/>
        </w:rPr>
        <w:t xml:space="preserve"> ‘in the licensees reasonable assessment’. Is this consistent? </w:t>
      </w:r>
    </w:p>
    <w:p w14:paraId="255B62B4" w14:textId="77777777" w:rsidR="00836ABB" w:rsidRPr="00B94FD0" w:rsidRDefault="00836ABB" w:rsidP="00836ABB">
      <w:pPr>
        <w:pStyle w:val="PlainText"/>
        <w:rPr>
          <w:rFonts w:ascii="Arial" w:hAnsi="Arial" w:cs="Arial"/>
          <w:b/>
          <w:bCs/>
        </w:rPr>
      </w:pPr>
    </w:p>
    <w:p w14:paraId="3DE65DCB" w14:textId="77777777" w:rsidR="00836ABB" w:rsidRPr="00B94FD0" w:rsidRDefault="00836ABB" w:rsidP="00836ABB">
      <w:pPr>
        <w:pStyle w:val="PlainText"/>
        <w:rPr>
          <w:rFonts w:ascii="Arial" w:hAnsi="Arial" w:cs="Arial"/>
        </w:rPr>
      </w:pPr>
      <w:r w:rsidRPr="00B94FD0">
        <w:rPr>
          <w:rFonts w:ascii="Arial" w:hAnsi="Arial" w:cs="Arial"/>
          <w:b/>
          <w:bCs/>
        </w:rPr>
        <w:lastRenderedPageBreak/>
        <w:t xml:space="preserve">PA19: </w:t>
      </w:r>
      <w:r w:rsidRPr="00B94FD0">
        <w:rPr>
          <w:rFonts w:ascii="Arial" w:hAnsi="Arial" w:cs="Arial"/>
        </w:rPr>
        <w:t>Where Contingent seismic is indicated in Phase A, there will be a discussion towards the end of that Phase prior to either progressing into Phase B, or dropping the Licence. The OGA will assess the interpretation made by the Licensees and will not allow the Licence to continue into Phase B unless the seismic acquisition is confirmed, but if it is agreed that new shoot seismic is not necessary, either the Licence will be dropped, or may (in exceptional circumstances) agree continuation into Phase C for a well to be drilled.    </w:t>
      </w:r>
    </w:p>
    <w:p w14:paraId="49A91CBF" w14:textId="77777777" w:rsidR="00B510B3" w:rsidRDefault="00B510B3" w:rsidP="00EA2340">
      <w:pPr>
        <w:jc w:val="both"/>
        <w:rPr>
          <w:rFonts w:ascii="Arial" w:hAnsi="Arial" w:cs="Arial"/>
          <w:b/>
          <w:u w:val="single"/>
        </w:rPr>
      </w:pPr>
    </w:p>
    <w:p w14:paraId="77C0A9B8" w14:textId="77777777" w:rsidR="00B510B3" w:rsidRDefault="00B510B3" w:rsidP="00EA2340">
      <w:pPr>
        <w:jc w:val="both"/>
        <w:rPr>
          <w:rFonts w:ascii="Arial" w:hAnsi="Arial" w:cs="Arial"/>
          <w:b/>
          <w:u w:val="single"/>
        </w:rPr>
      </w:pPr>
    </w:p>
    <w:p w14:paraId="353BEBFC" w14:textId="77777777" w:rsidR="00364C49" w:rsidRPr="007828F0" w:rsidRDefault="00364C49" w:rsidP="00364C49">
      <w:pPr>
        <w:rPr>
          <w:rFonts w:ascii="Arial" w:hAnsi="Arial" w:cs="Arial"/>
        </w:rPr>
      </w:pPr>
      <w:r w:rsidRPr="007828F0">
        <w:rPr>
          <w:rFonts w:ascii="Arial" w:hAnsi="Arial" w:cs="Arial"/>
          <w:b/>
          <w:bCs/>
          <w:lang w:val="en-US"/>
        </w:rPr>
        <w:t xml:space="preserve">PQ20: </w:t>
      </w:r>
      <w:r w:rsidRPr="007828F0">
        <w:rPr>
          <w:rFonts w:ascii="Arial" w:hAnsi="Arial" w:cs="Arial"/>
          <w:lang w:val="en-US"/>
        </w:rPr>
        <w:t xml:space="preserve">In the situation where an application is made for a </w:t>
      </w:r>
      <w:proofErr w:type="spellStart"/>
      <w:r w:rsidRPr="007828F0">
        <w:rPr>
          <w:rFonts w:ascii="Arial" w:hAnsi="Arial" w:cs="Arial"/>
          <w:lang w:val="en-US"/>
        </w:rPr>
        <w:t>licence</w:t>
      </w:r>
      <w:proofErr w:type="spellEnd"/>
      <w:r w:rsidRPr="007828F0">
        <w:rPr>
          <w:rFonts w:ascii="Arial" w:hAnsi="Arial" w:cs="Arial"/>
          <w:lang w:val="en-US"/>
        </w:rPr>
        <w:t xml:space="preserve"> comprising multiple blocks, with Phase C as the start phase and a single firm well commitment, do the 100 marks (assuming short duration) apply just to the block which contains the ready-to-drill prospect, or to every block comprising the </w:t>
      </w:r>
      <w:proofErr w:type="spellStart"/>
      <w:r w:rsidRPr="007828F0">
        <w:rPr>
          <w:rFonts w:ascii="Arial" w:hAnsi="Arial" w:cs="Arial"/>
          <w:lang w:val="en-US"/>
        </w:rPr>
        <w:t>licence</w:t>
      </w:r>
      <w:proofErr w:type="spellEnd"/>
      <w:r w:rsidRPr="007828F0">
        <w:rPr>
          <w:rFonts w:ascii="Arial" w:hAnsi="Arial" w:cs="Arial"/>
          <w:lang w:val="en-US"/>
        </w:rPr>
        <w:t xml:space="preserve"> application? I would have assumed the former, but the response to one of the Q&amp;A topics made me question this: </w:t>
      </w:r>
      <w:r w:rsidRPr="007828F0">
        <w:rPr>
          <w:rFonts w:ascii="Arial" w:hAnsi="Arial" w:cs="Arial"/>
          <w:b/>
          <w:bCs/>
          <w:i/>
          <w:iCs/>
          <w:lang w:val="en-US"/>
        </w:rPr>
        <w:t xml:space="preserve">“Note that some elements of the published Marks Scheme relate to block-specific evaluations of </w:t>
      </w:r>
      <w:proofErr w:type="spellStart"/>
      <w:r w:rsidRPr="007828F0">
        <w:rPr>
          <w:rFonts w:ascii="Arial" w:hAnsi="Arial" w:cs="Arial"/>
          <w:b/>
          <w:bCs/>
          <w:i/>
          <w:iCs/>
          <w:lang w:val="en-US"/>
        </w:rPr>
        <w:t>prospectivity</w:t>
      </w:r>
      <w:proofErr w:type="spellEnd"/>
      <w:r w:rsidRPr="007828F0">
        <w:rPr>
          <w:rFonts w:ascii="Arial" w:hAnsi="Arial" w:cs="Arial"/>
          <w:b/>
          <w:bCs/>
          <w:i/>
          <w:iCs/>
          <w:lang w:val="en-US"/>
        </w:rPr>
        <w:t xml:space="preserve"> and discoveries, and so to discriminate between competing applications, the OGA will mark on a block-by-block basis. Since the potential </w:t>
      </w:r>
      <w:proofErr w:type="spellStart"/>
      <w:r w:rsidRPr="007828F0">
        <w:rPr>
          <w:rFonts w:ascii="Arial" w:hAnsi="Arial" w:cs="Arial"/>
          <w:b/>
          <w:bCs/>
          <w:i/>
          <w:iCs/>
          <w:lang w:val="en-US"/>
        </w:rPr>
        <w:t>licence</w:t>
      </w:r>
      <w:proofErr w:type="spellEnd"/>
      <w:r w:rsidRPr="007828F0">
        <w:rPr>
          <w:rFonts w:ascii="Arial" w:hAnsi="Arial" w:cs="Arial"/>
          <w:b/>
          <w:bCs/>
          <w:i/>
          <w:iCs/>
          <w:lang w:val="en-US"/>
        </w:rPr>
        <w:t xml:space="preserve"> will have an overall defined phasing, the phase timing marks will be the same for each block in that group”</w:t>
      </w:r>
    </w:p>
    <w:p w14:paraId="56D8EB00" w14:textId="77777777" w:rsidR="007828F0" w:rsidRPr="007828F0" w:rsidRDefault="007828F0" w:rsidP="00364C49">
      <w:pPr>
        <w:rPr>
          <w:rFonts w:ascii="Arial" w:hAnsi="Arial" w:cs="Arial"/>
          <w:b/>
          <w:bCs/>
          <w:lang w:val="en-US"/>
        </w:rPr>
      </w:pPr>
    </w:p>
    <w:p w14:paraId="5ABC51A4" w14:textId="77777777" w:rsidR="00364C49" w:rsidRPr="007828F0" w:rsidRDefault="00364C49" w:rsidP="00364C49">
      <w:pPr>
        <w:rPr>
          <w:rFonts w:ascii="Arial" w:hAnsi="Arial" w:cs="Arial"/>
          <w:lang w:val="en-US"/>
        </w:rPr>
      </w:pPr>
      <w:r w:rsidRPr="007828F0">
        <w:rPr>
          <w:rFonts w:ascii="Arial" w:hAnsi="Arial" w:cs="Arial"/>
          <w:b/>
          <w:bCs/>
          <w:lang w:val="en-US"/>
        </w:rPr>
        <w:t xml:space="preserve">PA20: </w:t>
      </w:r>
      <w:r w:rsidRPr="007828F0">
        <w:rPr>
          <w:rFonts w:ascii="Arial" w:hAnsi="Arial" w:cs="Arial"/>
          <w:lang w:val="en-US"/>
        </w:rPr>
        <w:t xml:space="preserve">As the marking will be comparative on a Block by Block basis, the Marks will be associated with the Block or Blocks where the Prospect is situated. If a Prospect is split between, say, two Blocks then the OGA may allocate half the Marks to one Block and half to the adjacent Block but only where that is comparable with any competing Application. If a prospect is perceived to be the same </w:t>
      </w:r>
      <w:proofErr w:type="gramStart"/>
      <w:r w:rsidRPr="007828F0">
        <w:rPr>
          <w:rFonts w:ascii="Arial" w:hAnsi="Arial" w:cs="Arial"/>
          <w:lang w:val="en-US"/>
        </w:rPr>
        <w:t>in essence even</w:t>
      </w:r>
      <w:proofErr w:type="gramEnd"/>
      <w:r w:rsidRPr="007828F0">
        <w:rPr>
          <w:rFonts w:ascii="Arial" w:hAnsi="Arial" w:cs="Arial"/>
          <w:lang w:val="en-US"/>
        </w:rPr>
        <w:t xml:space="preserve"> if it is mapped in a slightly different location then the Marks allocated will reflect the similarities. </w:t>
      </w:r>
    </w:p>
    <w:p w14:paraId="0594D6F9" w14:textId="77777777" w:rsidR="00364C49" w:rsidRPr="007828F0" w:rsidRDefault="00364C49" w:rsidP="00364C49">
      <w:pPr>
        <w:jc w:val="center"/>
        <w:rPr>
          <w:rFonts w:ascii="Arial" w:hAnsi="Arial" w:cs="Arial"/>
        </w:rPr>
      </w:pPr>
      <w:r w:rsidRPr="007828F0">
        <w:rPr>
          <w:rFonts w:ascii="Arial" w:hAnsi="Arial" w:cs="Arial"/>
        </w:rPr>
        <w:t>---------------------------------------------------------------------</w:t>
      </w:r>
    </w:p>
    <w:p w14:paraId="3A07D27E" w14:textId="77777777" w:rsidR="00364C49" w:rsidRPr="007828F0" w:rsidRDefault="00364C49" w:rsidP="00364C49">
      <w:pPr>
        <w:rPr>
          <w:rFonts w:ascii="Arial" w:hAnsi="Arial" w:cs="Arial"/>
          <w:lang w:val="en-US"/>
        </w:rPr>
      </w:pPr>
      <w:r w:rsidRPr="007828F0">
        <w:rPr>
          <w:rFonts w:ascii="Arial" w:hAnsi="Arial" w:cs="Arial"/>
          <w:b/>
          <w:bCs/>
          <w:lang w:val="en-US"/>
        </w:rPr>
        <w:t xml:space="preserve">PQ21: </w:t>
      </w:r>
      <w:r w:rsidRPr="007828F0">
        <w:rPr>
          <w:rFonts w:ascii="Arial" w:hAnsi="Arial" w:cs="Arial"/>
          <w:lang w:val="en-US"/>
        </w:rPr>
        <w:t xml:space="preserve">As a follow-up to this: if the same scenario above applied but with a two firm well commitment, how are marks credited for this? The mark scheme almost suggests that you only get credit for the phasing (applied across an entire </w:t>
      </w:r>
      <w:proofErr w:type="spellStart"/>
      <w:r w:rsidRPr="007828F0">
        <w:rPr>
          <w:rFonts w:ascii="Arial" w:hAnsi="Arial" w:cs="Arial"/>
          <w:lang w:val="en-US"/>
        </w:rPr>
        <w:t>licence</w:t>
      </w:r>
      <w:proofErr w:type="spellEnd"/>
      <w:r w:rsidRPr="007828F0">
        <w:rPr>
          <w:rFonts w:ascii="Arial" w:hAnsi="Arial" w:cs="Arial"/>
          <w:lang w:val="en-US"/>
        </w:rPr>
        <w:t xml:space="preserve"> application), but not for the number of wells you commit to drill. I’m sure extra credit must be given for a multiple well commitment, but can’t see how this would be applied in the mark scheme?</w:t>
      </w:r>
    </w:p>
    <w:p w14:paraId="592302EA" w14:textId="77777777" w:rsidR="00364C49" w:rsidRPr="007828F0" w:rsidRDefault="00364C49" w:rsidP="00364C49">
      <w:pPr>
        <w:rPr>
          <w:rFonts w:ascii="Arial" w:hAnsi="Arial" w:cs="Arial"/>
          <w:b/>
          <w:bCs/>
          <w:lang w:val="en-US"/>
        </w:rPr>
      </w:pPr>
    </w:p>
    <w:p w14:paraId="2F33AE5D" w14:textId="77777777" w:rsidR="00364C49" w:rsidRPr="007828F0" w:rsidRDefault="00364C49" w:rsidP="00364C49">
      <w:pPr>
        <w:rPr>
          <w:rFonts w:ascii="Arial" w:hAnsi="Arial" w:cs="Arial"/>
          <w:i/>
          <w:iCs/>
          <w:lang w:val="en-US"/>
        </w:rPr>
      </w:pPr>
      <w:r w:rsidRPr="007828F0">
        <w:rPr>
          <w:rFonts w:ascii="Arial" w:hAnsi="Arial" w:cs="Arial"/>
          <w:b/>
          <w:bCs/>
          <w:lang w:val="en-US"/>
        </w:rPr>
        <w:t xml:space="preserve">PA21: </w:t>
      </w:r>
      <w:r w:rsidRPr="007828F0">
        <w:rPr>
          <w:rFonts w:ascii="Arial" w:hAnsi="Arial" w:cs="Arial"/>
          <w:lang w:val="en-US"/>
        </w:rPr>
        <w:t xml:space="preserve">Only One Firm well will be marked per potential </w:t>
      </w:r>
      <w:proofErr w:type="spellStart"/>
      <w:r w:rsidRPr="007828F0">
        <w:rPr>
          <w:rFonts w:ascii="Arial" w:hAnsi="Arial" w:cs="Arial"/>
          <w:lang w:val="en-US"/>
        </w:rPr>
        <w:t>Licence</w:t>
      </w:r>
      <w:proofErr w:type="spellEnd"/>
      <w:r w:rsidRPr="007828F0">
        <w:rPr>
          <w:rFonts w:ascii="Arial" w:hAnsi="Arial" w:cs="Arial"/>
          <w:lang w:val="en-US"/>
        </w:rPr>
        <w:t xml:space="preserve">, </w:t>
      </w:r>
      <w:r w:rsidRPr="007828F0">
        <w:rPr>
          <w:rFonts w:ascii="Arial" w:hAnsi="Arial" w:cs="Arial"/>
          <w:i/>
          <w:iCs/>
          <w:lang w:val="en-US"/>
        </w:rPr>
        <w:t>unless it is unambiguously clear that the wells are to different targets, with NO dependency of the results from one of the wells to another.</w:t>
      </w:r>
    </w:p>
    <w:p w14:paraId="6CB4FA14" w14:textId="77777777" w:rsidR="00364C49" w:rsidRPr="007828F0" w:rsidRDefault="00364C49" w:rsidP="00364C49">
      <w:pPr>
        <w:jc w:val="center"/>
        <w:rPr>
          <w:rFonts w:ascii="Arial" w:hAnsi="Arial" w:cs="Arial"/>
        </w:rPr>
      </w:pPr>
      <w:r w:rsidRPr="007828F0">
        <w:rPr>
          <w:rFonts w:ascii="Arial" w:hAnsi="Arial" w:cs="Arial"/>
        </w:rPr>
        <w:t>---------------------------------------------------------------------</w:t>
      </w:r>
    </w:p>
    <w:p w14:paraId="75EAB85D" w14:textId="77777777" w:rsidR="00364C49" w:rsidRPr="007828F0" w:rsidRDefault="00364C49" w:rsidP="00364C49">
      <w:pPr>
        <w:rPr>
          <w:rFonts w:ascii="Arial" w:hAnsi="Arial" w:cs="Arial"/>
        </w:rPr>
      </w:pPr>
      <w:r w:rsidRPr="007828F0">
        <w:rPr>
          <w:rFonts w:ascii="Arial" w:hAnsi="Arial" w:cs="Arial"/>
          <w:b/>
        </w:rPr>
        <w:t xml:space="preserve">PQ22: </w:t>
      </w:r>
      <w:r w:rsidRPr="007828F0">
        <w:rPr>
          <w:rFonts w:ascii="Arial" w:hAnsi="Arial" w:cs="Arial"/>
        </w:rPr>
        <w:t xml:space="preserve">I was wondering if you could clarify a query I had regarding the </w:t>
      </w:r>
      <w:hyperlink r:id="rId10" w:history="1">
        <w:r w:rsidRPr="007828F0">
          <w:rPr>
            <w:rStyle w:val="Hyperlink"/>
            <w:rFonts w:ascii="Arial" w:hAnsi="Arial" w:cs="Arial"/>
            <w:color w:val="auto"/>
          </w:rPr>
          <w:t>mark scheme reference document</w:t>
        </w:r>
      </w:hyperlink>
      <w:r w:rsidRPr="007828F0">
        <w:rPr>
          <w:rFonts w:ascii="Arial" w:hAnsi="Arial" w:cs="Arial"/>
        </w:rPr>
        <w:t>.</w:t>
      </w:r>
    </w:p>
    <w:p w14:paraId="48AFC597" w14:textId="77777777" w:rsidR="00364C49" w:rsidRPr="007828F0" w:rsidRDefault="00364C49" w:rsidP="00364C49">
      <w:pPr>
        <w:rPr>
          <w:rFonts w:ascii="Arial" w:hAnsi="Arial" w:cs="Arial"/>
        </w:rPr>
      </w:pPr>
      <w:r w:rsidRPr="007828F0">
        <w:rPr>
          <w:rFonts w:ascii="Arial" w:hAnsi="Arial" w:cs="Arial"/>
        </w:rPr>
        <w:t>Per the “β” note it states that “An above-ground evaluation should be provided for all applications where the Initial Term is Phase C or the Licence start term is the Second Term”.  Should this be interpreted as:</w:t>
      </w:r>
    </w:p>
    <w:p w14:paraId="1A3C0ACC" w14:textId="77777777" w:rsidR="00364C49" w:rsidRPr="007828F0" w:rsidRDefault="00364C49" w:rsidP="00364C49">
      <w:pPr>
        <w:numPr>
          <w:ilvl w:val="0"/>
          <w:numId w:val="14"/>
        </w:numPr>
        <w:suppressAutoHyphens w:val="0"/>
        <w:rPr>
          <w:rFonts w:ascii="Arial" w:hAnsi="Arial" w:cs="Arial"/>
        </w:rPr>
      </w:pPr>
      <w:r w:rsidRPr="007828F0">
        <w:rPr>
          <w:rFonts w:ascii="Arial" w:hAnsi="Arial" w:cs="Arial"/>
        </w:rPr>
        <w:t>All submissions will be marked on their Above Ground Evaluation, but it’s mandatory for Phase C or Second Term applications, OR</w:t>
      </w:r>
    </w:p>
    <w:p w14:paraId="0C76FEE4" w14:textId="77777777" w:rsidR="00364C49" w:rsidRPr="007828F0" w:rsidRDefault="00364C49" w:rsidP="00364C49">
      <w:pPr>
        <w:numPr>
          <w:ilvl w:val="0"/>
          <w:numId w:val="14"/>
        </w:numPr>
        <w:suppressAutoHyphens w:val="0"/>
        <w:rPr>
          <w:rFonts w:ascii="Arial" w:hAnsi="Arial" w:cs="Arial"/>
        </w:rPr>
      </w:pPr>
      <w:r w:rsidRPr="007828F0">
        <w:rPr>
          <w:rFonts w:ascii="Arial" w:hAnsi="Arial" w:cs="Arial"/>
        </w:rPr>
        <w:t>Only applications for Phase C or Second Term should have an Above Ground Application and it won’t contribute to marks for Phase A or B applications.</w:t>
      </w:r>
    </w:p>
    <w:p w14:paraId="4C1D2EF1" w14:textId="77777777" w:rsidR="00364C49" w:rsidRPr="007828F0" w:rsidRDefault="00364C49" w:rsidP="00364C49">
      <w:pPr>
        <w:rPr>
          <w:rFonts w:ascii="Arial" w:hAnsi="Arial" w:cs="Arial"/>
        </w:rPr>
      </w:pPr>
    </w:p>
    <w:p w14:paraId="169EC3A5" w14:textId="77777777" w:rsidR="00364C49" w:rsidRPr="007828F0" w:rsidRDefault="00364C49" w:rsidP="00364C49">
      <w:pPr>
        <w:rPr>
          <w:rFonts w:ascii="Arial" w:hAnsi="Arial" w:cs="Arial"/>
          <w:b/>
          <w:bCs/>
          <w:lang w:val="en-US"/>
        </w:rPr>
      </w:pPr>
      <w:r w:rsidRPr="007828F0">
        <w:rPr>
          <w:rFonts w:ascii="Arial" w:hAnsi="Arial" w:cs="Arial"/>
          <w:b/>
          <w:bCs/>
          <w:lang w:val="en-US"/>
        </w:rPr>
        <w:t xml:space="preserve">PA22: </w:t>
      </w:r>
      <w:r w:rsidRPr="007828F0">
        <w:rPr>
          <w:rFonts w:ascii="Arial" w:hAnsi="Arial" w:cs="Arial"/>
          <w:bCs/>
          <w:lang w:val="en-US"/>
        </w:rPr>
        <w:t xml:space="preserve">Above-ground evaluation would be expected for a Phase C Initial Term or the </w:t>
      </w:r>
      <w:proofErr w:type="spellStart"/>
      <w:r w:rsidRPr="007828F0">
        <w:rPr>
          <w:rFonts w:ascii="Arial" w:hAnsi="Arial" w:cs="Arial"/>
          <w:bCs/>
          <w:lang w:val="en-US"/>
        </w:rPr>
        <w:t>Licence</w:t>
      </w:r>
      <w:proofErr w:type="spellEnd"/>
      <w:r w:rsidRPr="007828F0">
        <w:rPr>
          <w:rFonts w:ascii="Arial" w:hAnsi="Arial" w:cs="Arial"/>
          <w:bCs/>
          <w:lang w:val="en-US"/>
        </w:rPr>
        <w:t xml:space="preserve"> start term is the Second Term. Where a well-thought out, relevant, above-ground evaluation is submitted for a Phase A/B Application, the OGA would mark it.</w:t>
      </w:r>
    </w:p>
    <w:p w14:paraId="63C46097" w14:textId="77777777" w:rsidR="00364C49" w:rsidRPr="007828F0" w:rsidRDefault="00364C49" w:rsidP="00364C49">
      <w:pPr>
        <w:jc w:val="center"/>
        <w:rPr>
          <w:rFonts w:ascii="Arial" w:hAnsi="Arial" w:cs="Arial"/>
        </w:rPr>
      </w:pPr>
      <w:r w:rsidRPr="007828F0">
        <w:rPr>
          <w:rFonts w:ascii="Arial" w:hAnsi="Arial" w:cs="Arial"/>
        </w:rPr>
        <w:t>---------------------------------------------------------------------</w:t>
      </w:r>
    </w:p>
    <w:p w14:paraId="7FBA5DEA" w14:textId="77777777" w:rsidR="00364C49" w:rsidRPr="007828F0" w:rsidRDefault="00364C49" w:rsidP="00364C49">
      <w:pPr>
        <w:rPr>
          <w:rFonts w:ascii="Arial" w:hAnsi="Arial" w:cs="Arial"/>
        </w:rPr>
      </w:pPr>
      <w:r w:rsidRPr="007828F0">
        <w:rPr>
          <w:rFonts w:ascii="Arial" w:hAnsi="Arial" w:cs="Arial"/>
          <w:b/>
        </w:rPr>
        <w:lastRenderedPageBreak/>
        <w:t xml:space="preserve">PQ23: </w:t>
      </w:r>
      <w:r w:rsidRPr="007828F0">
        <w:rPr>
          <w:rFonts w:ascii="Arial" w:hAnsi="Arial" w:cs="Arial"/>
        </w:rPr>
        <w:t>I was also wondering if there was any more detailed official guidance regarding above ground evaluation?</w:t>
      </w:r>
    </w:p>
    <w:p w14:paraId="2BB1CAC7" w14:textId="77777777" w:rsidR="00364C49" w:rsidRPr="007828F0" w:rsidRDefault="00364C49" w:rsidP="00364C49">
      <w:pPr>
        <w:rPr>
          <w:rFonts w:ascii="Arial" w:hAnsi="Arial" w:cs="Arial"/>
          <w:b/>
          <w:bCs/>
          <w:lang w:val="en-US"/>
        </w:rPr>
      </w:pPr>
    </w:p>
    <w:p w14:paraId="5EBCF601" w14:textId="77777777" w:rsidR="00364C49" w:rsidRPr="007828F0" w:rsidRDefault="00364C49" w:rsidP="00364C49">
      <w:pPr>
        <w:rPr>
          <w:rFonts w:ascii="Arial" w:hAnsi="Arial" w:cs="Arial"/>
          <w:b/>
          <w:bCs/>
          <w:lang w:val="en-US"/>
        </w:rPr>
      </w:pPr>
      <w:r w:rsidRPr="007828F0">
        <w:rPr>
          <w:rFonts w:ascii="Arial" w:hAnsi="Arial" w:cs="Arial"/>
          <w:b/>
          <w:bCs/>
          <w:lang w:val="en-US"/>
        </w:rPr>
        <w:t>PA</w:t>
      </w:r>
      <w:r w:rsidR="007828F0" w:rsidRPr="007828F0">
        <w:rPr>
          <w:rFonts w:ascii="Arial" w:hAnsi="Arial" w:cs="Arial"/>
          <w:b/>
          <w:bCs/>
          <w:lang w:val="en-US"/>
        </w:rPr>
        <w:t>23</w:t>
      </w:r>
      <w:r w:rsidRPr="007828F0">
        <w:rPr>
          <w:rFonts w:ascii="Arial" w:hAnsi="Arial" w:cs="Arial"/>
          <w:b/>
          <w:bCs/>
          <w:lang w:val="en-US"/>
        </w:rPr>
        <w:t xml:space="preserve">: </w:t>
      </w:r>
      <w:r w:rsidRPr="007828F0">
        <w:rPr>
          <w:rFonts w:ascii="Arial" w:hAnsi="Arial" w:cs="Arial"/>
          <w:bCs/>
          <w:lang w:val="en-US"/>
        </w:rPr>
        <w:t xml:space="preserve">The OGA has not provided guidance for any of the three areas in the Above-Ground Evaluation as it is difficult to be prescriptive. Information provided will be assessed (as stated above) on its relevance to the </w:t>
      </w:r>
      <w:proofErr w:type="spellStart"/>
      <w:r w:rsidRPr="007828F0">
        <w:rPr>
          <w:rFonts w:ascii="Arial" w:hAnsi="Arial" w:cs="Arial"/>
          <w:bCs/>
          <w:lang w:val="en-US"/>
        </w:rPr>
        <w:t>prospectivity</w:t>
      </w:r>
      <w:proofErr w:type="spellEnd"/>
      <w:r w:rsidRPr="007828F0">
        <w:rPr>
          <w:rFonts w:ascii="Arial" w:hAnsi="Arial" w:cs="Arial"/>
          <w:bCs/>
          <w:lang w:val="en-US"/>
        </w:rPr>
        <w:t xml:space="preserve"> and the area concerned. </w:t>
      </w:r>
    </w:p>
    <w:p w14:paraId="123669AB" w14:textId="77777777" w:rsidR="00364C49" w:rsidRPr="007828F0" w:rsidRDefault="00364C49" w:rsidP="00364C49">
      <w:pPr>
        <w:jc w:val="center"/>
        <w:rPr>
          <w:rFonts w:ascii="Arial" w:hAnsi="Arial" w:cs="Arial"/>
        </w:rPr>
      </w:pPr>
      <w:r w:rsidRPr="007828F0">
        <w:rPr>
          <w:rFonts w:ascii="Arial" w:hAnsi="Arial" w:cs="Arial"/>
        </w:rPr>
        <w:t>---------------------------------------------------------------------</w:t>
      </w:r>
    </w:p>
    <w:p w14:paraId="4C808EC6" w14:textId="77777777" w:rsidR="00364C49" w:rsidRPr="007828F0" w:rsidRDefault="00364C49" w:rsidP="00364C49">
      <w:pPr>
        <w:rPr>
          <w:rFonts w:ascii="Arial" w:hAnsi="Arial" w:cs="Arial"/>
        </w:rPr>
      </w:pPr>
      <w:r w:rsidRPr="007828F0">
        <w:rPr>
          <w:rFonts w:ascii="Arial" w:hAnsi="Arial" w:cs="Arial"/>
          <w:b/>
        </w:rPr>
        <w:t>PQ</w:t>
      </w:r>
      <w:r w:rsidR="007828F0" w:rsidRPr="007828F0">
        <w:rPr>
          <w:rFonts w:ascii="Arial" w:hAnsi="Arial" w:cs="Arial"/>
          <w:b/>
        </w:rPr>
        <w:t>24</w:t>
      </w:r>
      <w:r w:rsidRPr="007828F0">
        <w:rPr>
          <w:rFonts w:ascii="Arial" w:hAnsi="Arial" w:cs="Arial"/>
          <w:b/>
        </w:rPr>
        <w:t>:</w:t>
      </w:r>
      <w:r w:rsidRPr="007828F0">
        <w:rPr>
          <w:rFonts w:ascii="Arial" w:hAnsi="Arial" w:cs="Arial"/>
        </w:rPr>
        <w:t xml:space="preserve"> If one enters into a Phase </w:t>
      </w:r>
      <w:proofErr w:type="spellStart"/>
      <w:proofErr w:type="gramStart"/>
      <w:r w:rsidRPr="007828F0">
        <w:rPr>
          <w:rFonts w:ascii="Arial" w:hAnsi="Arial" w:cs="Arial"/>
        </w:rPr>
        <w:t>A</w:t>
      </w:r>
      <w:proofErr w:type="spellEnd"/>
      <w:proofErr w:type="gramEnd"/>
      <w:r w:rsidRPr="007828F0">
        <w:rPr>
          <w:rFonts w:ascii="Arial" w:hAnsi="Arial" w:cs="Arial"/>
        </w:rPr>
        <w:t xml:space="preserve"> Initial Term licence and one proposes to move into Phase C and drill a well after x years, is there a problem to drill a well earlier if progress is made quicker than planned in the study phase? Or is it also possible to first move into Phase B before and delaying Phase C possibly. In other words, can the proposed Work Programme be adjusted along the way with new data coming to light?</w:t>
      </w:r>
    </w:p>
    <w:p w14:paraId="7AF230F8" w14:textId="77777777" w:rsidR="00364C49" w:rsidRPr="007828F0" w:rsidRDefault="00364C49" w:rsidP="00364C49">
      <w:pPr>
        <w:rPr>
          <w:rFonts w:ascii="Arial" w:hAnsi="Arial" w:cs="Arial"/>
        </w:rPr>
      </w:pPr>
    </w:p>
    <w:p w14:paraId="384DA1A4" w14:textId="77777777" w:rsidR="00364C49" w:rsidRPr="007828F0" w:rsidRDefault="00364C49" w:rsidP="00364C49">
      <w:pPr>
        <w:rPr>
          <w:rFonts w:ascii="Arial" w:hAnsi="Arial" w:cs="Arial"/>
          <w:b/>
          <w:bCs/>
          <w:lang w:val="en-US"/>
        </w:rPr>
      </w:pPr>
      <w:r w:rsidRPr="007828F0">
        <w:rPr>
          <w:rFonts w:ascii="Arial" w:hAnsi="Arial" w:cs="Arial"/>
          <w:b/>
          <w:bCs/>
          <w:lang w:val="en-US"/>
        </w:rPr>
        <w:t>PA</w:t>
      </w:r>
      <w:r w:rsidR="007828F0" w:rsidRPr="007828F0">
        <w:rPr>
          <w:rFonts w:ascii="Arial" w:hAnsi="Arial" w:cs="Arial"/>
          <w:b/>
          <w:bCs/>
          <w:lang w:val="en-US"/>
        </w:rPr>
        <w:t>24</w:t>
      </w:r>
      <w:r w:rsidRPr="007828F0">
        <w:rPr>
          <w:rFonts w:ascii="Arial" w:hAnsi="Arial" w:cs="Arial"/>
          <w:b/>
          <w:bCs/>
          <w:lang w:val="en-US"/>
        </w:rPr>
        <w:t xml:space="preserve">:  </w:t>
      </w:r>
      <w:r w:rsidRPr="007828F0">
        <w:rPr>
          <w:rFonts w:ascii="Arial" w:hAnsi="Arial" w:cs="Arial"/>
          <w:bCs/>
          <w:lang w:val="en-US"/>
        </w:rPr>
        <w:t xml:space="preserve">The Innovate </w:t>
      </w:r>
      <w:proofErr w:type="spellStart"/>
      <w:r w:rsidRPr="007828F0">
        <w:rPr>
          <w:rFonts w:ascii="Arial" w:hAnsi="Arial" w:cs="Arial"/>
          <w:bCs/>
          <w:lang w:val="en-US"/>
        </w:rPr>
        <w:t>Licence</w:t>
      </w:r>
      <w:proofErr w:type="spellEnd"/>
      <w:r w:rsidRPr="007828F0">
        <w:rPr>
          <w:rFonts w:ascii="Arial" w:hAnsi="Arial" w:cs="Arial"/>
          <w:bCs/>
          <w:lang w:val="en-US"/>
        </w:rPr>
        <w:t xml:space="preserve"> is devised to be flexible; the Applicant </w:t>
      </w:r>
      <w:proofErr w:type="gramStart"/>
      <w:r w:rsidRPr="007828F0">
        <w:rPr>
          <w:rFonts w:ascii="Arial" w:hAnsi="Arial" w:cs="Arial"/>
          <w:bCs/>
          <w:lang w:val="en-US"/>
        </w:rPr>
        <w:t>is able to</w:t>
      </w:r>
      <w:proofErr w:type="gramEnd"/>
      <w:r w:rsidRPr="007828F0">
        <w:rPr>
          <w:rFonts w:ascii="Arial" w:hAnsi="Arial" w:cs="Arial"/>
          <w:bCs/>
          <w:lang w:val="en-US"/>
        </w:rPr>
        <w:t xml:space="preserve"> specify the Work </w:t>
      </w:r>
      <w:proofErr w:type="spellStart"/>
      <w:r w:rsidRPr="007828F0">
        <w:rPr>
          <w:rFonts w:ascii="Arial" w:hAnsi="Arial" w:cs="Arial"/>
          <w:bCs/>
          <w:lang w:val="en-US"/>
        </w:rPr>
        <w:t>Programme</w:t>
      </w:r>
      <w:proofErr w:type="spellEnd"/>
      <w:r w:rsidRPr="007828F0">
        <w:rPr>
          <w:rFonts w:ascii="Arial" w:hAnsi="Arial" w:cs="Arial"/>
          <w:bCs/>
          <w:lang w:val="en-US"/>
        </w:rPr>
        <w:t xml:space="preserve"> and timescale that suits the </w:t>
      </w:r>
      <w:proofErr w:type="spellStart"/>
      <w:r w:rsidRPr="007828F0">
        <w:rPr>
          <w:rFonts w:ascii="Arial" w:hAnsi="Arial" w:cs="Arial"/>
          <w:bCs/>
          <w:lang w:val="en-US"/>
        </w:rPr>
        <w:t>prospectivity</w:t>
      </w:r>
      <w:proofErr w:type="spellEnd"/>
      <w:r w:rsidRPr="007828F0">
        <w:rPr>
          <w:rFonts w:ascii="Arial" w:hAnsi="Arial" w:cs="Arial"/>
          <w:bCs/>
          <w:lang w:val="en-US"/>
        </w:rPr>
        <w:t xml:space="preserve"> they have identified, within a framework. There is nothing to prevent the successful Applicant from drilling earlier than originally proposed (although this should be discussed with the OGA at the annual review). Requests for extensions to any Phase would be considered, as always, but first, a charge may apply and secondly, it would be expected that </w:t>
      </w:r>
      <w:proofErr w:type="gramStart"/>
      <w:r w:rsidRPr="007828F0">
        <w:rPr>
          <w:rFonts w:ascii="Arial" w:hAnsi="Arial" w:cs="Arial"/>
          <w:bCs/>
          <w:lang w:val="en-US"/>
        </w:rPr>
        <w:t>contingencies  such</w:t>
      </w:r>
      <w:proofErr w:type="gramEnd"/>
      <w:r w:rsidRPr="007828F0">
        <w:rPr>
          <w:rFonts w:ascii="Arial" w:hAnsi="Arial" w:cs="Arial"/>
          <w:bCs/>
          <w:lang w:val="en-US"/>
        </w:rPr>
        <w:t xml:space="preserve"> as further information requirements would be built into the </w:t>
      </w:r>
      <w:proofErr w:type="spellStart"/>
      <w:r w:rsidRPr="007828F0">
        <w:rPr>
          <w:rFonts w:ascii="Arial" w:hAnsi="Arial" w:cs="Arial"/>
          <w:bCs/>
          <w:lang w:val="en-US"/>
        </w:rPr>
        <w:t>Programme</w:t>
      </w:r>
      <w:proofErr w:type="spellEnd"/>
      <w:r w:rsidRPr="007828F0">
        <w:rPr>
          <w:rFonts w:ascii="Arial" w:hAnsi="Arial" w:cs="Arial"/>
          <w:bCs/>
          <w:lang w:val="en-US"/>
        </w:rPr>
        <w:t xml:space="preserve">. For example, if there is only 2D seismic available in an area, it would be prudent to include a Phase B for shooting 3D seismic to enable any well to be drilled on the best data.  </w:t>
      </w:r>
      <w:r w:rsidRPr="007828F0">
        <w:rPr>
          <w:rFonts w:ascii="Arial" w:hAnsi="Arial" w:cs="Arial"/>
          <w:b/>
          <w:bCs/>
          <w:lang w:val="en-US"/>
        </w:rPr>
        <w:t xml:space="preserve"> </w:t>
      </w:r>
    </w:p>
    <w:p w14:paraId="153EDAAF" w14:textId="77777777" w:rsidR="00364C49" w:rsidRPr="007828F0" w:rsidRDefault="00364C49" w:rsidP="00364C49">
      <w:pPr>
        <w:jc w:val="center"/>
        <w:rPr>
          <w:rFonts w:ascii="Arial" w:hAnsi="Arial" w:cs="Arial"/>
        </w:rPr>
      </w:pPr>
      <w:r w:rsidRPr="007828F0">
        <w:rPr>
          <w:rFonts w:ascii="Arial" w:hAnsi="Arial" w:cs="Arial"/>
        </w:rPr>
        <w:t>---------------------------------------------------------------------</w:t>
      </w:r>
    </w:p>
    <w:p w14:paraId="275837B4" w14:textId="77777777" w:rsidR="00364C49" w:rsidRPr="007828F0" w:rsidRDefault="00364C49" w:rsidP="00364C49">
      <w:pPr>
        <w:pStyle w:val="NormalWeb"/>
        <w:rPr>
          <w:rFonts w:ascii="Arial" w:hAnsi="Arial" w:cs="Arial"/>
          <w:sz w:val="22"/>
          <w:szCs w:val="22"/>
        </w:rPr>
      </w:pPr>
      <w:r w:rsidRPr="007828F0">
        <w:rPr>
          <w:rFonts w:ascii="Arial" w:hAnsi="Arial" w:cs="Arial"/>
          <w:sz w:val="22"/>
          <w:szCs w:val="22"/>
        </w:rPr>
        <w:t>PQ</w:t>
      </w:r>
      <w:r w:rsidR="007828F0" w:rsidRPr="007828F0">
        <w:rPr>
          <w:rFonts w:ascii="Arial" w:hAnsi="Arial" w:cs="Arial"/>
          <w:sz w:val="22"/>
          <w:szCs w:val="22"/>
        </w:rPr>
        <w:t>25</w:t>
      </w:r>
      <w:r w:rsidRPr="007828F0">
        <w:rPr>
          <w:rFonts w:ascii="Arial" w:hAnsi="Arial" w:cs="Arial"/>
          <w:sz w:val="22"/>
          <w:szCs w:val="22"/>
        </w:rPr>
        <w:t>: We see from the Seaward Marks Scheme Summary that in the "Geotechnical database used" section use of 3D seismic gets 30 marks maximum whereas Well data gets 5 marks maximum. Is this 5 per well or 5 for using every available well? Wells provide as much information relevant to petroleum production as seismic data and should receive comparable weighting.</w:t>
      </w:r>
    </w:p>
    <w:p w14:paraId="7E5DBCD8" w14:textId="77777777" w:rsidR="00364C49" w:rsidRPr="007828F0" w:rsidRDefault="00364C49" w:rsidP="00364C49">
      <w:pPr>
        <w:rPr>
          <w:rFonts w:ascii="Arial" w:hAnsi="Arial" w:cs="Arial"/>
        </w:rPr>
      </w:pPr>
      <w:r w:rsidRPr="007828F0">
        <w:rPr>
          <w:rFonts w:ascii="Arial" w:hAnsi="Arial" w:cs="Arial"/>
        </w:rPr>
        <w:t>PA</w:t>
      </w:r>
      <w:r w:rsidR="007828F0" w:rsidRPr="007828F0">
        <w:rPr>
          <w:rFonts w:ascii="Arial" w:hAnsi="Arial" w:cs="Arial"/>
        </w:rPr>
        <w:t>25</w:t>
      </w:r>
      <w:r w:rsidRPr="007828F0">
        <w:rPr>
          <w:rFonts w:ascii="Arial" w:hAnsi="Arial" w:cs="Arial"/>
        </w:rPr>
        <w:t xml:space="preserve">: In the Marks </w:t>
      </w:r>
      <w:proofErr w:type="gramStart"/>
      <w:r w:rsidRPr="007828F0">
        <w:rPr>
          <w:rFonts w:ascii="Arial" w:hAnsi="Arial" w:cs="Arial"/>
        </w:rPr>
        <w:t>Scheme</w:t>
      </w:r>
      <w:proofErr w:type="gramEnd"/>
      <w:r w:rsidRPr="007828F0">
        <w:rPr>
          <w:rFonts w:ascii="Arial" w:hAnsi="Arial" w:cs="Arial"/>
        </w:rPr>
        <w:t xml:space="preserve"> the “Geotechnical database used” Well data is 5 Marks (max) overall as the OGA would expect the Applicant to have reviewed appropriate well data in the area of the Block(s) they are applying for. Well data is comparatively easy and inexpensive to view through CDA or at OGA Offices where the microfiche of released wells is available on appointment.  Enhanced well datasets can also be purchased from OGA’s appointed release agents, and for this licence round, the OGA has made a subset of the wells available for download through CDA with no charge.</w:t>
      </w:r>
    </w:p>
    <w:p w14:paraId="6D229D1B" w14:textId="77777777" w:rsidR="00364C49" w:rsidRPr="007828F0" w:rsidRDefault="00364C49" w:rsidP="00364C49">
      <w:pPr>
        <w:rPr>
          <w:rFonts w:ascii="Arial" w:hAnsi="Arial" w:cs="Arial"/>
        </w:rPr>
      </w:pPr>
      <w:proofErr w:type="gramStart"/>
      <w:r w:rsidRPr="007828F0">
        <w:rPr>
          <w:rFonts w:ascii="Arial" w:hAnsi="Arial" w:cs="Arial"/>
        </w:rPr>
        <w:t>Again</w:t>
      </w:r>
      <w:proofErr w:type="gramEnd"/>
      <w:r w:rsidRPr="007828F0">
        <w:rPr>
          <w:rFonts w:ascii="Arial" w:hAnsi="Arial" w:cs="Arial"/>
        </w:rPr>
        <w:t xml:space="preserve"> it would be expected that the available seismic data would have been reviewed but as this is usually subject to purchasing a Licence to view, with varying costs associated, if an Applicant can demonstrate that it has done this then it will attract some Marks. </w:t>
      </w:r>
    </w:p>
    <w:p w14:paraId="63F211B6" w14:textId="77777777" w:rsidR="00364C49" w:rsidRPr="007828F0" w:rsidRDefault="00364C49" w:rsidP="00364C49">
      <w:pPr>
        <w:jc w:val="center"/>
        <w:rPr>
          <w:rFonts w:ascii="Arial" w:hAnsi="Arial" w:cs="Arial"/>
        </w:rPr>
      </w:pPr>
      <w:r w:rsidRPr="007828F0">
        <w:rPr>
          <w:rFonts w:ascii="Arial" w:hAnsi="Arial" w:cs="Arial"/>
        </w:rPr>
        <w:t>---------------------------------------------------------------------</w:t>
      </w:r>
    </w:p>
    <w:p w14:paraId="589E6B87" w14:textId="77777777" w:rsidR="00364C49" w:rsidRPr="007828F0" w:rsidRDefault="00364C49" w:rsidP="00364C49">
      <w:pPr>
        <w:rPr>
          <w:rFonts w:ascii="Arial" w:hAnsi="Arial" w:cs="Arial"/>
        </w:rPr>
      </w:pPr>
      <w:r w:rsidRPr="007828F0">
        <w:rPr>
          <w:rFonts w:ascii="Arial" w:hAnsi="Arial" w:cs="Arial"/>
        </w:rPr>
        <w:t>PQ</w:t>
      </w:r>
      <w:r w:rsidR="007828F0" w:rsidRPr="007828F0">
        <w:rPr>
          <w:rFonts w:ascii="Arial" w:hAnsi="Arial" w:cs="Arial"/>
        </w:rPr>
        <w:t>26</w:t>
      </w:r>
      <w:r w:rsidRPr="007828F0">
        <w:rPr>
          <w:rFonts w:ascii="Arial" w:hAnsi="Arial" w:cs="Arial"/>
        </w:rPr>
        <w:t xml:space="preserve">: </w:t>
      </w:r>
      <w:proofErr w:type="gramStart"/>
      <w:r w:rsidRPr="007828F0">
        <w:rPr>
          <w:rFonts w:ascii="Arial" w:hAnsi="Arial" w:cs="Arial"/>
        </w:rPr>
        <w:t>With regard to</w:t>
      </w:r>
      <w:proofErr w:type="gramEnd"/>
      <w:r w:rsidRPr="007828F0">
        <w:rPr>
          <w:rFonts w:ascii="Arial" w:hAnsi="Arial" w:cs="Arial"/>
        </w:rPr>
        <w:t xml:space="preserve"> the potential work programme marks, would a seismic purchase in Phase A gain a maximum of 20 points as detailed in the “Geotechnical work programme” section or 30 points (20 plus a potential 10 for short duration as detailed in the “Phase Timing Mark” section)?  Likewise, shooting a new 3D seismic in Phase B, would that gain a maximum of 60 points as indicated in the Geotechnical Work Programme section or 100 (60 + 40 for short duration)?  Answer PA6 seems to indicate that 0 to 10 and 20 to 40 are only available for Phase A and B work programmes respectively.  </w:t>
      </w:r>
    </w:p>
    <w:p w14:paraId="508FEFE9" w14:textId="77777777" w:rsidR="00364C49" w:rsidRPr="007828F0" w:rsidRDefault="00364C49" w:rsidP="00364C49">
      <w:pPr>
        <w:rPr>
          <w:rFonts w:ascii="Arial" w:hAnsi="Arial" w:cs="Arial"/>
        </w:rPr>
      </w:pPr>
      <w:r w:rsidRPr="007828F0">
        <w:rPr>
          <w:rFonts w:ascii="Arial" w:hAnsi="Arial" w:cs="Arial"/>
        </w:rPr>
        <w:t xml:space="preserve">Can I also confirm that you would potentially get zero marks for a proposed phase B work programme if you entered the licence in Phase A other than a potential 5 marks maximum for contingent seismic?  i.e. reprocess seismic in phase A with contingent new shoot seismic in phase B – you would only get 5 marks max for phase B.  Or, an EM study in </w:t>
      </w:r>
      <w:r w:rsidRPr="007828F0">
        <w:rPr>
          <w:rFonts w:ascii="Arial" w:hAnsi="Arial" w:cs="Arial"/>
        </w:rPr>
        <w:lastRenderedPageBreak/>
        <w:t>Phase A and firm new seismic in phase B – again you would only get marked for your Phase A work programme as that’s the phase that you are entering.    </w:t>
      </w:r>
    </w:p>
    <w:p w14:paraId="3CF39DA1" w14:textId="77777777" w:rsidR="00364C49" w:rsidRPr="007828F0" w:rsidRDefault="00364C49" w:rsidP="00364C49">
      <w:pPr>
        <w:rPr>
          <w:rFonts w:ascii="Arial" w:hAnsi="Arial" w:cs="Arial"/>
        </w:rPr>
      </w:pPr>
    </w:p>
    <w:p w14:paraId="68F2F71D" w14:textId="77777777" w:rsidR="00364C49" w:rsidRPr="007828F0" w:rsidRDefault="00364C49" w:rsidP="00364C49">
      <w:pPr>
        <w:rPr>
          <w:rFonts w:ascii="Arial" w:hAnsi="Arial" w:cs="Arial"/>
        </w:rPr>
      </w:pPr>
      <w:r w:rsidRPr="007828F0">
        <w:rPr>
          <w:rFonts w:ascii="Arial" w:hAnsi="Arial" w:cs="Arial"/>
        </w:rPr>
        <w:t>PA</w:t>
      </w:r>
      <w:r w:rsidR="007828F0" w:rsidRPr="007828F0">
        <w:rPr>
          <w:rFonts w:ascii="Arial" w:hAnsi="Arial" w:cs="Arial"/>
        </w:rPr>
        <w:t>26</w:t>
      </w:r>
      <w:r w:rsidRPr="007828F0">
        <w:rPr>
          <w:rFonts w:ascii="Arial" w:hAnsi="Arial" w:cs="Arial"/>
        </w:rPr>
        <w:t>: An Application where the Start Phase is Phase A could attract 20 marks for 3D seismic purchase (maximum; depending on the type of seismic data) plus 10 marks for phase timing (maximum; short phase timing). An Application where the Start Phase is Phase B (</w:t>
      </w:r>
      <w:proofErr w:type="spellStart"/>
      <w:r w:rsidRPr="007828F0">
        <w:rPr>
          <w:rFonts w:ascii="Arial" w:hAnsi="Arial" w:cs="Arial"/>
        </w:rPr>
        <w:t>ie</w:t>
      </w:r>
      <w:proofErr w:type="spellEnd"/>
      <w:r w:rsidRPr="007828F0">
        <w:rPr>
          <w:rFonts w:ascii="Arial" w:hAnsi="Arial" w:cs="Arial"/>
        </w:rPr>
        <w:t xml:space="preserve"> shooting new seismic) could attract 60 marks for the new 3D shoot seismic (maximum; depending on the type of seismic data) </w:t>
      </w:r>
      <w:proofErr w:type="gramStart"/>
      <w:r w:rsidRPr="007828F0">
        <w:rPr>
          <w:rFonts w:ascii="Arial" w:hAnsi="Arial" w:cs="Arial"/>
        </w:rPr>
        <w:t>plus  40</w:t>
      </w:r>
      <w:proofErr w:type="gramEnd"/>
      <w:r w:rsidRPr="007828F0">
        <w:rPr>
          <w:rFonts w:ascii="Arial" w:hAnsi="Arial" w:cs="Arial"/>
        </w:rPr>
        <w:t xml:space="preserve"> marks for phase timing (maximum; short phase timing) in addition to marks for previously purchased or reprocessed seismic which will attract the relevant marks in the ‘Geotechnical Database Used’ section . The answer to PQ6 only covered the Start Phase timing marks.</w:t>
      </w:r>
    </w:p>
    <w:p w14:paraId="4BFEF444" w14:textId="77777777" w:rsidR="00364C49" w:rsidRPr="007828F0" w:rsidRDefault="00364C49" w:rsidP="00364C49">
      <w:pPr>
        <w:rPr>
          <w:rFonts w:ascii="Arial" w:hAnsi="Arial" w:cs="Arial"/>
        </w:rPr>
      </w:pPr>
      <w:r w:rsidRPr="007828F0">
        <w:rPr>
          <w:rFonts w:ascii="Arial" w:hAnsi="Arial" w:cs="Arial"/>
        </w:rPr>
        <w:t xml:space="preserve">If the Start Phase is Phase A then you would only attract marks pertaining to the Phase </w:t>
      </w:r>
      <w:proofErr w:type="gramStart"/>
      <w:r w:rsidRPr="007828F0">
        <w:rPr>
          <w:rFonts w:ascii="Arial" w:hAnsi="Arial" w:cs="Arial"/>
        </w:rPr>
        <w:t>A</w:t>
      </w:r>
      <w:proofErr w:type="gramEnd"/>
      <w:r w:rsidRPr="007828F0">
        <w:rPr>
          <w:rFonts w:ascii="Arial" w:hAnsi="Arial" w:cs="Arial"/>
        </w:rPr>
        <w:t xml:space="preserve"> Work Programme unless Contingent seismic is committed which will attract 5 additional marks. It should be noted that the decision as to whether the seismic should then be shot is ceded to the OGA, so where an Applicant was intending to move from Phase A to Phase C to drill a well without having shot the Phase B Contingent seismic, this would be assessed technically to ensure the new shoot seismic is not necessary to drill the well.  </w:t>
      </w:r>
    </w:p>
    <w:p w14:paraId="0EEDC1A7" w14:textId="77777777" w:rsidR="00364C49" w:rsidRPr="007828F0" w:rsidRDefault="00364C49" w:rsidP="00364C49">
      <w:pPr>
        <w:rPr>
          <w:rFonts w:ascii="Arial" w:hAnsi="Arial" w:cs="Arial"/>
        </w:rPr>
      </w:pPr>
      <w:r w:rsidRPr="007828F0">
        <w:rPr>
          <w:rFonts w:ascii="Arial" w:hAnsi="Arial" w:cs="Arial"/>
        </w:rPr>
        <w:t>For the final part of the question, if the new Seismic is being made as a Firm commitment then the Start Phase should be Phase B. There is nothing preventing studies at the same time. However, if the EM studies (or any other studies) are to be undertaken to inform whether new seismic should be shot, then that would be classed as Phase A start and Contingent seismic (as above).</w:t>
      </w:r>
    </w:p>
    <w:p w14:paraId="522ADB30" w14:textId="77777777" w:rsidR="00364C49" w:rsidRPr="007828F0" w:rsidRDefault="00364C49" w:rsidP="00364C49">
      <w:pPr>
        <w:jc w:val="center"/>
        <w:rPr>
          <w:rFonts w:ascii="Arial" w:hAnsi="Arial" w:cs="Arial"/>
        </w:rPr>
      </w:pPr>
      <w:r w:rsidRPr="007828F0">
        <w:rPr>
          <w:rFonts w:ascii="Arial" w:hAnsi="Arial" w:cs="Arial"/>
        </w:rPr>
        <w:t>---------------------------------------------------------------------</w:t>
      </w:r>
    </w:p>
    <w:p w14:paraId="5127B121" w14:textId="77777777" w:rsidR="00364C49" w:rsidRPr="007828F0" w:rsidRDefault="00364C49" w:rsidP="00364C49">
      <w:pPr>
        <w:rPr>
          <w:rFonts w:ascii="Arial" w:hAnsi="Arial" w:cs="Arial"/>
          <w:lang w:val="en-US"/>
        </w:rPr>
      </w:pPr>
      <w:r w:rsidRPr="007828F0">
        <w:rPr>
          <w:rFonts w:ascii="Arial" w:hAnsi="Arial" w:cs="Arial"/>
          <w:lang w:val="en-US"/>
        </w:rPr>
        <w:t>PQ</w:t>
      </w:r>
      <w:r w:rsidR="007828F0" w:rsidRPr="007828F0">
        <w:rPr>
          <w:rFonts w:ascii="Arial" w:hAnsi="Arial" w:cs="Arial"/>
          <w:lang w:val="en-US"/>
        </w:rPr>
        <w:t>27</w:t>
      </w:r>
      <w:r w:rsidRPr="007828F0">
        <w:rPr>
          <w:rFonts w:ascii="Arial" w:hAnsi="Arial" w:cs="Arial"/>
          <w:lang w:val="en-US"/>
        </w:rPr>
        <w:t xml:space="preserve">: When defining the work </w:t>
      </w:r>
      <w:proofErr w:type="spellStart"/>
      <w:r w:rsidRPr="007828F0">
        <w:rPr>
          <w:rFonts w:ascii="Arial" w:hAnsi="Arial" w:cs="Arial"/>
          <w:lang w:val="en-US"/>
        </w:rPr>
        <w:t>programme</w:t>
      </w:r>
      <w:proofErr w:type="spellEnd"/>
      <w:r w:rsidRPr="007828F0">
        <w:rPr>
          <w:rFonts w:ascii="Arial" w:hAnsi="Arial" w:cs="Arial"/>
          <w:lang w:val="en-US"/>
        </w:rPr>
        <w:t xml:space="preserve"> on a block-by-block basis, a well commitment is required. </w:t>
      </w:r>
    </w:p>
    <w:p w14:paraId="7AC32004" w14:textId="77777777" w:rsidR="00364C49" w:rsidRPr="007828F0" w:rsidRDefault="00364C49" w:rsidP="00364C49">
      <w:pPr>
        <w:rPr>
          <w:rFonts w:ascii="Arial" w:hAnsi="Arial" w:cs="Arial"/>
          <w:lang w:val="en-US"/>
        </w:rPr>
      </w:pPr>
      <w:r w:rsidRPr="007828F0">
        <w:rPr>
          <w:rFonts w:ascii="Arial" w:hAnsi="Arial" w:cs="Arial"/>
          <w:lang w:val="en-US"/>
        </w:rPr>
        <w:t xml:space="preserve">If a prospect is straddling block boundaries, is the well, intended to test the prospect to be listed for each of the blocks? In this case, on a per block basis, multiple wells would be listed, but the joint work </w:t>
      </w:r>
      <w:proofErr w:type="spellStart"/>
      <w:r w:rsidRPr="007828F0">
        <w:rPr>
          <w:rFonts w:ascii="Arial" w:hAnsi="Arial" w:cs="Arial"/>
          <w:lang w:val="en-US"/>
        </w:rPr>
        <w:t>programme</w:t>
      </w:r>
      <w:proofErr w:type="spellEnd"/>
      <w:r w:rsidRPr="007828F0">
        <w:rPr>
          <w:rFonts w:ascii="Arial" w:hAnsi="Arial" w:cs="Arial"/>
          <w:lang w:val="en-US"/>
        </w:rPr>
        <w:t xml:space="preserve"> for all blocks combined (the license work </w:t>
      </w:r>
      <w:proofErr w:type="spellStart"/>
      <w:r w:rsidRPr="007828F0">
        <w:rPr>
          <w:rFonts w:ascii="Arial" w:hAnsi="Arial" w:cs="Arial"/>
          <w:lang w:val="en-US"/>
        </w:rPr>
        <w:t>programme</w:t>
      </w:r>
      <w:proofErr w:type="spellEnd"/>
      <w:r w:rsidRPr="007828F0">
        <w:rPr>
          <w:rFonts w:ascii="Arial" w:hAnsi="Arial" w:cs="Arial"/>
          <w:lang w:val="en-US"/>
        </w:rPr>
        <w:t>) would only contain a single well.</w:t>
      </w:r>
    </w:p>
    <w:p w14:paraId="2AB04246" w14:textId="77777777" w:rsidR="00364C49" w:rsidRPr="007828F0" w:rsidRDefault="00364C49" w:rsidP="00364C49">
      <w:pPr>
        <w:rPr>
          <w:rFonts w:ascii="Arial" w:hAnsi="Arial" w:cs="Arial"/>
        </w:rPr>
      </w:pPr>
    </w:p>
    <w:p w14:paraId="46EB44FB" w14:textId="77777777" w:rsidR="00364C49" w:rsidRPr="007828F0" w:rsidRDefault="00364C49" w:rsidP="00364C49">
      <w:pPr>
        <w:rPr>
          <w:rFonts w:ascii="Arial" w:hAnsi="Arial" w:cs="Arial"/>
        </w:rPr>
      </w:pPr>
      <w:r w:rsidRPr="007828F0">
        <w:rPr>
          <w:rFonts w:ascii="Arial" w:hAnsi="Arial" w:cs="Arial"/>
        </w:rPr>
        <w:t>PA</w:t>
      </w:r>
      <w:r w:rsidR="007828F0" w:rsidRPr="007828F0">
        <w:rPr>
          <w:rFonts w:ascii="Arial" w:hAnsi="Arial" w:cs="Arial"/>
        </w:rPr>
        <w:t>27</w:t>
      </w:r>
      <w:r w:rsidRPr="007828F0">
        <w:rPr>
          <w:rFonts w:ascii="Arial" w:hAnsi="Arial" w:cs="Arial"/>
        </w:rPr>
        <w:t>: Where it is obvious that a Prospect straddles one or more Blocks, the OGA will check the Joint Work Programme, which should only be for one well (whether Drill or Drop, Contingent, or Firm), as the Applicant sees fit. But a Work Programme for each Block should still be supplied, and if a Contingent or Firm well is being committed by the Applicant, the Work Programme for the Block where the well is recommended should contain that specific Work Programme.</w:t>
      </w:r>
    </w:p>
    <w:p w14:paraId="4AC22AF3" w14:textId="77777777" w:rsidR="00364C49" w:rsidRPr="007828F0" w:rsidRDefault="00364C49" w:rsidP="00364C49">
      <w:pPr>
        <w:jc w:val="center"/>
        <w:rPr>
          <w:rFonts w:ascii="Arial" w:hAnsi="Arial" w:cs="Arial"/>
        </w:rPr>
      </w:pPr>
      <w:r w:rsidRPr="007828F0">
        <w:rPr>
          <w:rFonts w:ascii="Arial" w:hAnsi="Arial" w:cs="Arial"/>
        </w:rPr>
        <w:t>---------------------------------------------------------------------</w:t>
      </w:r>
    </w:p>
    <w:p w14:paraId="15F676FC" w14:textId="77777777" w:rsidR="00364C49" w:rsidRPr="007828F0" w:rsidRDefault="00364C49" w:rsidP="00364C49">
      <w:pPr>
        <w:rPr>
          <w:rFonts w:ascii="Arial" w:hAnsi="Arial" w:cs="Arial"/>
        </w:rPr>
      </w:pPr>
      <w:r w:rsidRPr="007828F0">
        <w:rPr>
          <w:rFonts w:ascii="Arial" w:hAnsi="Arial" w:cs="Arial"/>
        </w:rPr>
        <w:t>PQ</w:t>
      </w:r>
      <w:r w:rsidR="007828F0" w:rsidRPr="007828F0">
        <w:rPr>
          <w:rFonts w:ascii="Arial" w:hAnsi="Arial" w:cs="Arial"/>
        </w:rPr>
        <w:t>28</w:t>
      </w:r>
      <w:r w:rsidRPr="007828F0">
        <w:rPr>
          <w:rFonts w:ascii="Arial" w:hAnsi="Arial" w:cs="Arial"/>
        </w:rPr>
        <w:t>: Can you clarify some confusion during a JV discussion on the initial term of a 30</w:t>
      </w:r>
      <w:r w:rsidRPr="007828F0">
        <w:rPr>
          <w:rFonts w:ascii="Arial" w:hAnsi="Arial" w:cs="Arial"/>
          <w:vertAlign w:val="superscript"/>
        </w:rPr>
        <w:t>th</w:t>
      </w:r>
      <w:r w:rsidRPr="007828F0">
        <w:rPr>
          <w:rFonts w:ascii="Arial" w:hAnsi="Arial" w:cs="Arial"/>
        </w:rPr>
        <w:t xml:space="preserve"> Round license.</w:t>
      </w:r>
    </w:p>
    <w:p w14:paraId="2B3F58B2" w14:textId="77777777" w:rsidR="00364C49" w:rsidRPr="007828F0" w:rsidRDefault="00364C49" w:rsidP="00364C49">
      <w:pPr>
        <w:numPr>
          <w:ilvl w:val="0"/>
          <w:numId w:val="15"/>
        </w:numPr>
        <w:suppressAutoHyphens w:val="0"/>
        <w:rPr>
          <w:rFonts w:ascii="Arial" w:hAnsi="Arial" w:cs="Arial"/>
        </w:rPr>
      </w:pPr>
      <w:r w:rsidRPr="007828F0">
        <w:rPr>
          <w:rFonts w:ascii="Arial" w:hAnsi="Arial" w:cs="Arial"/>
        </w:rPr>
        <w:t xml:space="preserve">the maximum period for a Phase A &amp;/or B holding is 4 years after which the company </w:t>
      </w:r>
      <w:proofErr w:type="gramStart"/>
      <w:r w:rsidRPr="007828F0">
        <w:rPr>
          <w:rFonts w:ascii="Arial" w:hAnsi="Arial" w:cs="Arial"/>
        </w:rPr>
        <w:t>has to</w:t>
      </w:r>
      <w:proofErr w:type="gramEnd"/>
      <w:r w:rsidRPr="007828F0">
        <w:rPr>
          <w:rFonts w:ascii="Arial" w:hAnsi="Arial" w:cs="Arial"/>
        </w:rPr>
        <w:t xml:space="preserve"> commit to drill a well or drop the block?</w:t>
      </w:r>
    </w:p>
    <w:p w14:paraId="383A7284" w14:textId="77777777" w:rsidR="00364C49" w:rsidRPr="007828F0" w:rsidRDefault="00364C49" w:rsidP="00364C49">
      <w:pPr>
        <w:numPr>
          <w:ilvl w:val="0"/>
          <w:numId w:val="15"/>
        </w:numPr>
        <w:suppressAutoHyphens w:val="0"/>
        <w:rPr>
          <w:rFonts w:ascii="Arial" w:hAnsi="Arial" w:cs="Arial"/>
        </w:rPr>
      </w:pPr>
      <w:r w:rsidRPr="007828F0">
        <w:rPr>
          <w:rFonts w:ascii="Arial" w:hAnsi="Arial" w:cs="Arial"/>
        </w:rPr>
        <w:t>The initial term is 4 years including Drill or Drop which can only be extended to 6 years by exception.</w:t>
      </w:r>
    </w:p>
    <w:p w14:paraId="3548013A" w14:textId="77777777" w:rsidR="00364C49" w:rsidRPr="007828F0" w:rsidRDefault="00364C49" w:rsidP="00364C49">
      <w:pPr>
        <w:pStyle w:val="ListParagraph"/>
        <w:rPr>
          <w:rFonts w:ascii="Arial" w:eastAsiaTheme="minorHAnsi" w:hAnsi="Arial" w:cs="Arial"/>
          <w:sz w:val="22"/>
          <w:szCs w:val="22"/>
        </w:rPr>
      </w:pPr>
    </w:p>
    <w:p w14:paraId="2663EEA8" w14:textId="77777777" w:rsidR="00364C49" w:rsidRPr="007828F0" w:rsidRDefault="00364C49" w:rsidP="00364C49">
      <w:pPr>
        <w:rPr>
          <w:rFonts w:ascii="Arial" w:hAnsi="Arial" w:cs="Arial"/>
        </w:rPr>
      </w:pPr>
      <w:r w:rsidRPr="007828F0">
        <w:rPr>
          <w:rFonts w:ascii="Arial" w:hAnsi="Arial" w:cs="Arial"/>
        </w:rPr>
        <w:t>PA</w:t>
      </w:r>
      <w:r w:rsidR="007828F0" w:rsidRPr="007828F0">
        <w:rPr>
          <w:rFonts w:ascii="Arial" w:hAnsi="Arial" w:cs="Arial"/>
        </w:rPr>
        <w:t>28</w:t>
      </w:r>
      <w:r w:rsidRPr="007828F0">
        <w:rPr>
          <w:rFonts w:ascii="Arial" w:hAnsi="Arial" w:cs="Arial"/>
        </w:rPr>
        <w:t>: It may be easier to answer the questions together. Paragraphs 12 and 13 of the Technical Guidance provide the reference for this. For the 30</w:t>
      </w:r>
      <w:r w:rsidRPr="007828F0">
        <w:rPr>
          <w:rFonts w:ascii="Arial" w:hAnsi="Arial" w:cs="Arial"/>
          <w:vertAlign w:val="superscript"/>
        </w:rPr>
        <w:t>th</w:t>
      </w:r>
      <w:r w:rsidRPr="007828F0">
        <w:rPr>
          <w:rFonts w:ascii="Arial" w:hAnsi="Arial" w:cs="Arial"/>
        </w:rPr>
        <w:t xml:space="preserve"> Round the OGA </w:t>
      </w:r>
      <w:r w:rsidRPr="007828F0">
        <w:rPr>
          <w:rFonts w:ascii="Arial" w:hAnsi="Arial" w:cs="Arial"/>
          <w:i/>
          <w:iCs/>
        </w:rPr>
        <w:t xml:space="preserve">expects </w:t>
      </w:r>
      <w:r w:rsidRPr="007828F0">
        <w:rPr>
          <w:rFonts w:ascii="Arial" w:hAnsi="Arial" w:cs="Arial"/>
        </w:rPr>
        <w:t>that the overall Initial Term in most areas would be no longer than 6 years, and the Second Term the maximum duration no more than 4 years.</w:t>
      </w:r>
    </w:p>
    <w:p w14:paraId="62C75BAD" w14:textId="77777777" w:rsidR="00364C49" w:rsidRPr="007828F0" w:rsidRDefault="00364C49" w:rsidP="00364C49">
      <w:pPr>
        <w:rPr>
          <w:rFonts w:ascii="Arial" w:hAnsi="Arial" w:cs="Arial"/>
        </w:rPr>
      </w:pPr>
      <w:r w:rsidRPr="007828F0">
        <w:rPr>
          <w:rFonts w:ascii="Arial" w:hAnsi="Arial" w:cs="Arial"/>
        </w:rPr>
        <w:t xml:space="preserve">However, a case may be made at the time of Application for either or both Terms to have longer durations, but we have set maxima at 9 years and 6 years respectively. The OGA </w:t>
      </w:r>
      <w:r w:rsidRPr="007828F0">
        <w:rPr>
          <w:rFonts w:ascii="Arial" w:hAnsi="Arial" w:cs="Arial"/>
        </w:rPr>
        <w:lastRenderedPageBreak/>
        <w:t>would hope that, as the Licences are more flexible and are being requested to suit what the Applicants propose to carry out within a timeframe set by the Applicants, that Extensions to either (or both) Terms would not be necessary in future. However, they will be considered, on a case by case basis, and a charge applies.</w:t>
      </w:r>
    </w:p>
    <w:p w14:paraId="1514E1FA" w14:textId="77777777" w:rsidR="00364C49" w:rsidRPr="007828F0" w:rsidRDefault="00364C49" w:rsidP="00364C49">
      <w:pPr>
        <w:rPr>
          <w:rFonts w:ascii="Arial" w:hAnsi="Arial" w:cs="Arial"/>
        </w:rPr>
      </w:pPr>
      <w:r w:rsidRPr="007828F0">
        <w:rPr>
          <w:rFonts w:ascii="Arial" w:hAnsi="Arial" w:cs="Arial"/>
        </w:rPr>
        <w:t>Within the Initial Term potentially comprising three Phases, each Phase can be of a maximum length of 4 years, but should ideally fit within the maximum Initial Term of 6 years (see above). Examples may be (but not limited to):</w:t>
      </w:r>
    </w:p>
    <w:p w14:paraId="5D2DFD66" w14:textId="77777777" w:rsidR="00364C49" w:rsidRPr="007828F0" w:rsidRDefault="00364C49" w:rsidP="00364C49">
      <w:pPr>
        <w:rPr>
          <w:rFonts w:ascii="Arial" w:hAnsi="Arial" w:cs="Arial"/>
        </w:rPr>
      </w:pPr>
      <w:r w:rsidRPr="007828F0">
        <w:rPr>
          <w:rFonts w:ascii="Arial" w:hAnsi="Arial" w:cs="Arial"/>
        </w:rPr>
        <w:t xml:space="preserve">Phase A                2 </w:t>
      </w:r>
      <w:proofErr w:type="gramStart"/>
      <w:r w:rsidRPr="007828F0">
        <w:rPr>
          <w:rFonts w:ascii="Arial" w:hAnsi="Arial" w:cs="Arial"/>
        </w:rPr>
        <w:t>years  (</w:t>
      </w:r>
      <w:proofErr w:type="gramEnd"/>
      <w:r w:rsidRPr="007828F0">
        <w:rPr>
          <w:rFonts w:ascii="Arial" w:hAnsi="Arial" w:cs="Arial"/>
        </w:rPr>
        <w:t>Before the end of which Commit to new shoot seismic)</w:t>
      </w:r>
    </w:p>
    <w:p w14:paraId="485F1A21" w14:textId="77777777" w:rsidR="00364C49" w:rsidRPr="007828F0" w:rsidRDefault="00364C49" w:rsidP="00364C49">
      <w:pPr>
        <w:rPr>
          <w:rFonts w:ascii="Arial" w:hAnsi="Arial" w:cs="Arial"/>
        </w:rPr>
      </w:pPr>
      <w:r w:rsidRPr="007828F0">
        <w:rPr>
          <w:rFonts w:ascii="Arial" w:hAnsi="Arial" w:cs="Arial"/>
        </w:rPr>
        <w:t>Phase B                2 years (Before the end of which Commit to a well to move into Phase C or drop the Licence)</w:t>
      </w:r>
    </w:p>
    <w:p w14:paraId="037A494C" w14:textId="77777777" w:rsidR="00364C49" w:rsidRPr="007828F0" w:rsidRDefault="00364C49" w:rsidP="00364C49">
      <w:pPr>
        <w:rPr>
          <w:rFonts w:ascii="Arial" w:hAnsi="Arial" w:cs="Arial"/>
        </w:rPr>
      </w:pPr>
      <w:r w:rsidRPr="007828F0">
        <w:rPr>
          <w:rFonts w:ascii="Arial" w:hAnsi="Arial" w:cs="Arial"/>
        </w:rPr>
        <w:t>Phase C                2 years</w:t>
      </w:r>
    </w:p>
    <w:p w14:paraId="055A8BE8" w14:textId="77777777" w:rsidR="00364C49" w:rsidRPr="007828F0" w:rsidRDefault="00364C49" w:rsidP="00364C49">
      <w:pPr>
        <w:rPr>
          <w:rFonts w:ascii="Arial" w:hAnsi="Arial" w:cs="Arial"/>
        </w:rPr>
      </w:pPr>
      <w:r w:rsidRPr="007828F0">
        <w:rPr>
          <w:rFonts w:ascii="Arial" w:hAnsi="Arial" w:cs="Arial"/>
        </w:rPr>
        <w:t>OR</w:t>
      </w:r>
    </w:p>
    <w:p w14:paraId="7DB5E598" w14:textId="77777777" w:rsidR="00364C49" w:rsidRPr="007828F0" w:rsidRDefault="00364C49" w:rsidP="00364C49">
      <w:pPr>
        <w:rPr>
          <w:rFonts w:ascii="Arial" w:hAnsi="Arial" w:cs="Arial"/>
        </w:rPr>
      </w:pPr>
      <w:r w:rsidRPr="007828F0">
        <w:rPr>
          <w:rFonts w:ascii="Arial" w:hAnsi="Arial" w:cs="Arial"/>
        </w:rPr>
        <w:t>Phase A                1 year </w:t>
      </w:r>
      <w:proofErr w:type="gramStart"/>
      <w:r w:rsidRPr="007828F0">
        <w:rPr>
          <w:rFonts w:ascii="Arial" w:hAnsi="Arial" w:cs="Arial"/>
        </w:rPr>
        <w:t>   (</w:t>
      </w:r>
      <w:proofErr w:type="gramEnd"/>
      <w:r w:rsidRPr="007828F0">
        <w:rPr>
          <w:rFonts w:ascii="Arial" w:hAnsi="Arial" w:cs="Arial"/>
        </w:rPr>
        <w:t>Before the end of which Commit to new shoot seismic, or  - subject to any Contingency – Commit to drill a Firm well with no Phase B necessary)</w:t>
      </w:r>
    </w:p>
    <w:p w14:paraId="4635FFC4" w14:textId="77777777" w:rsidR="00364C49" w:rsidRPr="007828F0" w:rsidRDefault="00364C49" w:rsidP="00364C49">
      <w:pPr>
        <w:rPr>
          <w:rFonts w:ascii="Arial" w:hAnsi="Arial" w:cs="Arial"/>
        </w:rPr>
      </w:pPr>
      <w:r w:rsidRPr="007828F0">
        <w:rPr>
          <w:rFonts w:ascii="Arial" w:hAnsi="Arial" w:cs="Arial"/>
        </w:rPr>
        <w:t xml:space="preserve">Phase B                2 </w:t>
      </w:r>
      <w:proofErr w:type="gramStart"/>
      <w:r w:rsidRPr="007828F0">
        <w:rPr>
          <w:rFonts w:ascii="Arial" w:hAnsi="Arial" w:cs="Arial"/>
        </w:rPr>
        <w:t>years  (</w:t>
      </w:r>
      <w:proofErr w:type="gramEnd"/>
      <w:r w:rsidRPr="007828F0">
        <w:rPr>
          <w:rFonts w:ascii="Arial" w:hAnsi="Arial" w:cs="Arial"/>
        </w:rPr>
        <w:t>Before the end of which Commit to a well to move into Phase C or drop the Licence)</w:t>
      </w:r>
    </w:p>
    <w:p w14:paraId="20A1CC4F" w14:textId="77777777" w:rsidR="00364C49" w:rsidRPr="007828F0" w:rsidRDefault="00364C49" w:rsidP="00364C49">
      <w:pPr>
        <w:rPr>
          <w:rFonts w:ascii="Arial" w:hAnsi="Arial" w:cs="Arial"/>
        </w:rPr>
      </w:pPr>
      <w:r w:rsidRPr="007828F0">
        <w:rPr>
          <w:rFonts w:ascii="Arial" w:hAnsi="Arial" w:cs="Arial"/>
        </w:rPr>
        <w:t>Phase C                3 years</w:t>
      </w:r>
    </w:p>
    <w:p w14:paraId="7A27BED3" w14:textId="77777777" w:rsidR="00364C49" w:rsidRPr="007828F0" w:rsidRDefault="00364C49" w:rsidP="00364C49">
      <w:pPr>
        <w:rPr>
          <w:rFonts w:ascii="Arial" w:hAnsi="Arial" w:cs="Arial"/>
        </w:rPr>
      </w:pPr>
      <w:r w:rsidRPr="007828F0">
        <w:rPr>
          <w:rFonts w:ascii="Arial" w:hAnsi="Arial" w:cs="Arial"/>
        </w:rPr>
        <w:t xml:space="preserve">OR </w:t>
      </w:r>
    </w:p>
    <w:p w14:paraId="61D09378" w14:textId="77777777" w:rsidR="00364C49" w:rsidRPr="007828F0" w:rsidRDefault="00364C49" w:rsidP="00364C49">
      <w:pPr>
        <w:rPr>
          <w:rFonts w:ascii="Arial" w:hAnsi="Arial" w:cs="Arial"/>
        </w:rPr>
      </w:pPr>
      <w:r w:rsidRPr="007828F0">
        <w:rPr>
          <w:rFonts w:ascii="Arial" w:hAnsi="Arial" w:cs="Arial"/>
        </w:rPr>
        <w:t>Phase A                1 year </w:t>
      </w:r>
      <w:proofErr w:type="gramStart"/>
      <w:r w:rsidRPr="007828F0">
        <w:rPr>
          <w:rFonts w:ascii="Arial" w:hAnsi="Arial" w:cs="Arial"/>
        </w:rPr>
        <w:t>   (</w:t>
      </w:r>
      <w:proofErr w:type="gramEnd"/>
      <w:r w:rsidRPr="007828F0">
        <w:rPr>
          <w:rFonts w:ascii="Arial" w:hAnsi="Arial" w:cs="Arial"/>
        </w:rPr>
        <w:t>Before the end of which Commit to a well to move into Phase C or drop the Licence)</w:t>
      </w:r>
    </w:p>
    <w:p w14:paraId="19B65550" w14:textId="77777777" w:rsidR="00364C49" w:rsidRPr="007828F0" w:rsidRDefault="00364C49" w:rsidP="00364C49">
      <w:pPr>
        <w:rPr>
          <w:rFonts w:ascii="Arial" w:hAnsi="Arial" w:cs="Arial"/>
        </w:rPr>
      </w:pPr>
      <w:r w:rsidRPr="007828F0">
        <w:rPr>
          <w:rFonts w:ascii="Arial" w:hAnsi="Arial" w:cs="Arial"/>
        </w:rPr>
        <w:t>Phase B               N/A if no new seismic is proposed</w:t>
      </w:r>
    </w:p>
    <w:p w14:paraId="02F39510" w14:textId="77777777" w:rsidR="00364C49" w:rsidRPr="007828F0" w:rsidRDefault="00364C49" w:rsidP="00364C49">
      <w:pPr>
        <w:rPr>
          <w:rFonts w:ascii="Arial" w:hAnsi="Arial" w:cs="Arial"/>
        </w:rPr>
      </w:pPr>
      <w:r w:rsidRPr="007828F0">
        <w:rPr>
          <w:rFonts w:ascii="Arial" w:hAnsi="Arial" w:cs="Arial"/>
        </w:rPr>
        <w:t>Phase C                4 years</w:t>
      </w:r>
    </w:p>
    <w:p w14:paraId="55AA46BA" w14:textId="77777777" w:rsidR="00364C49" w:rsidRPr="007828F0" w:rsidRDefault="00364C49" w:rsidP="00364C49">
      <w:pPr>
        <w:rPr>
          <w:rFonts w:ascii="Arial" w:hAnsi="Arial" w:cs="Arial"/>
        </w:rPr>
      </w:pPr>
      <w:r w:rsidRPr="007828F0">
        <w:rPr>
          <w:rFonts w:ascii="Arial" w:hAnsi="Arial" w:cs="Arial"/>
        </w:rPr>
        <w:t>OR</w:t>
      </w:r>
    </w:p>
    <w:p w14:paraId="00682518" w14:textId="77777777" w:rsidR="00364C49" w:rsidRPr="007828F0" w:rsidRDefault="00364C49" w:rsidP="00364C49">
      <w:pPr>
        <w:rPr>
          <w:rFonts w:ascii="Arial" w:hAnsi="Arial" w:cs="Arial"/>
        </w:rPr>
      </w:pPr>
      <w:r w:rsidRPr="007828F0">
        <w:rPr>
          <w:rFonts w:ascii="Arial" w:hAnsi="Arial" w:cs="Arial"/>
        </w:rPr>
        <w:t>Phase A                N/A if no studies proposed</w:t>
      </w:r>
    </w:p>
    <w:p w14:paraId="3663B3D4" w14:textId="77777777" w:rsidR="00364C49" w:rsidRPr="007828F0" w:rsidRDefault="00364C49" w:rsidP="00364C49">
      <w:pPr>
        <w:rPr>
          <w:rFonts w:ascii="Arial" w:hAnsi="Arial" w:cs="Arial"/>
        </w:rPr>
      </w:pPr>
      <w:r w:rsidRPr="007828F0">
        <w:rPr>
          <w:rFonts w:ascii="Arial" w:hAnsi="Arial" w:cs="Arial"/>
        </w:rPr>
        <w:t>Phase B                3 years (Firm new seismic)</w:t>
      </w:r>
    </w:p>
    <w:p w14:paraId="29F6A901" w14:textId="77777777" w:rsidR="00364C49" w:rsidRPr="007828F0" w:rsidRDefault="00364C49" w:rsidP="00364C49">
      <w:pPr>
        <w:rPr>
          <w:rFonts w:ascii="Arial" w:hAnsi="Arial" w:cs="Arial"/>
        </w:rPr>
      </w:pPr>
      <w:r w:rsidRPr="007828F0">
        <w:rPr>
          <w:rFonts w:ascii="Arial" w:hAnsi="Arial" w:cs="Arial"/>
        </w:rPr>
        <w:t>Phase C                3 years</w:t>
      </w:r>
    </w:p>
    <w:p w14:paraId="76BE5D2F" w14:textId="77777777" w:rsidR="00364C49" w:rsidRPr="007828F0" w:rsidRDefault="00364C49" w:rsidP="00364C49">
      <w:pPr>
        <w:rPr>
          <w:rFonts w:ascii="Arial" w:hAnsi="Arial" w:cs="Arial"/>
        </w:rPr>
      </w:pPr>
      <w:r w:rsidRPr="007828F0">
        <w:rPr>
          <w:rFonts w:ascii="Arial" w:hAnsi="Arial" w:cs="Arial"/>
        </w:rPr>
        <w:t>OR</w:t>
      </w:r>
    </w:p>
    <w:p w14:paraId="0009BB68" w14:textId="77777777" w:rsidR="00364C49" w:rsidRPr="007828F0" w:rsidRDefault="00364C49" w:rsidP="00364C49">
      <w:pPr>
        <w:rPr>
          <w:rFonts w:ascii="Arial" w:hAnsi="Arial" w:cs="Arial"/>
        </w:rPr>
      </w:pPr>
      <w:r w:rsidRPr="007828F0">
        <w:rPr>
          <w:rFonts w:ascii="Arial" w:hAnsi="Arial" w:cs="Arial"/>
        </w:rPr>
        <w:t>Phase A                N/A</w:t>
      </w:r>
    </w:p>
    <w:p w14:paraId="1067247B" w14:textId="77777777" w:rsidR="00364C49" w:rsidRPr="007828F0" w:rsidRDefault="00364C49" w:rsidP="00364C49">
      <w:pPr>
        <w:rPr>
          <w:rFonts w:ascii="Arial" w:hAnsi="Arial" w:cs="Arial"/>
        </w:rPr>
      </w:pPr>
      <w:r w:rsidRPr="007828F0">
        <w:rPr>
          <w:rFonts w:ascii="Arial" w:hAnsi="Arial" w:cs="Arial"/>
        </w:rPr>
        <w:t>Phase B                N/A</w:t>
      </w:r>
    </w:p>
    <w:p w14:paraId="5FEF2FCA" w14:textId="77777777" w:rsidR="00364C49" w:rsidRPr="007828F0" w:rsidRDefault="00364C49" w:rsidP="00364C49">
      <w:pPr>
        <w:rPr>
          <w:rFonts w:ascii="Arial" w:hAnsi="Arial" w:cs="Arial"/>
        </w:rPr>
      </w:pPr>
      <w:r w:rsidRPr="007828F0">
        <w:rPr>
          <w:rFonts w:ascii="Arial" w:hAnsi="Arial" w:cs="Arial"/>
        </w:rPr>
        <w:t xml:space="preserve">Phase C                4 </w:t>
      </w:r>
      <w:proofErr w:type="gramStart"/>
      <w:r w:rsidRPr="007828F0">
        <w:rPr>
          <w:rFonts w:ascii="Arial" w:hAnsi="Arial" w:cs="Arial"/>
        </w:rPr>
        <w:t>years  (</w:t>
      </w:r>
      <w:proofErr w:type="gramEnd"/>
      <w:r w:rsidRPr="007828F0">
        <w:rPr>
          <w:rFonts w:ascii="Arial" w:hAnsi="Arial" w:cs="Arial"/>
        </w:rPr>
        <w:t>Firm well commitment; well to be drilled within 4 years where well planning is the only outstanding work)</w:t>
      </w:r>
    </w:p>
    <w:p w14:paraId="76094D36" w14:textId="77777777" w:rsidR="00B510B3" w:rsidRPr="007828F0" w:rsidRDefault="00B510B3" w:rsidP="00EA2340">
      <w:pPr>
        <w:jc w:val="both"/>
        <w:rPr>
          <w:rFonts w:ascii="Arial" w:hAnsi="Arial" w:cs="Arial"/>
          <w:b/>
          <w:u w:val="single"/>
        </w:rPr>
      </w:pPr>
    </w:p>
    <w:p w14:paraId="5DE40FC5" w14:textId="77777777" w:rsidR="00364C49" w:rsidRPr="007828F0" w:rsidRDefault="00364C49" w:rsidP="00EA2340">
      <w:pPr>
        <w:jc w:val="both"/>
        <w:rPr>
          <w:rFonts w:ascii="Arial" w:hAnsi="Arial" w:cs="Arial"/>
          <w:b/>
          <w:u w:val="single"/>
        </w:rPr>
      </w:pPr>
    </w:p>
    <w:p w14:paraId="113DDBD9" w14:textId="77777777" w:rsidR="00364C49" w:rsidRDefault="00364C49" w:rsidP="00EA2340">
      <w:pPr>
        <w:jc w:val="both"/>
        <w:rPr>
          <w:rFonts w:ascii="Arial" w:hAnsi="Arial" w:cs="Arial"/>
          <w:b/>
          <w:u w:val="single"/>
        </w:rPr>
      </w:pPr>
    </w:p>
    <w:p w14:paraId="0D27E129" w14:textId="77777777" w:rsidR="00576F37" w:rsidRDefault="00576F37" w:rsidP="00EA2340">
      <w:pPr>
        <w:jc w:val="both"/>
        <w:rPr>
          <w:rFonts w:ascii="Arial" w:hAnsi="Arial" w:cs="Arial"/>
          <w:b/>
          <w:u w:val="single"/>
        </w:rPr>
      </w:pPr>
    </w:p>
    <w:p w14:paraId="4DF5A6C1" w14:textId="77777777" w:rsidR="00084AE4" w:rsidRDefault="00084AE4" w:rsidP="00EA2340">
      <w:pPr>
        <w:jc w:val="both"/>
        <w:rPr>
          <w:rFonts w:ascii="Arial" w:hAnsi="Arial" w:cs="Arial"/>
          <w:b/>
          <w:u w:val="single"/>
        </w:rPr>
      </w:pPr>
      <w:r>
        <w:rPr>
          <w:rFonts w:ascii="Arial" w:hAnsi="Arial" w:cs="Arial"/>
          <w:b/>
          <w:u w:val="single"/>
        </w:rPr>
        <w:t>LARRY</w:t>
      </w:r>
    </w:p>
    <w:p w14:paraId="640B112E" w14:textId="77777777" w:rsidR="00084AE4" w:rsidRDefault="00084AE4" w:rsidP="00EA2340">
      <w:pPr>
        <w:jc w:val="both"/>
        <w:rPr>
          <w:rFonts w:ascii="Arial" w:hAnsi="Arial" w:cs="Arial"/>
        </w:rPr>
      </w:pPr>
    </w:p>
    <w:p w14:paraId="179EEE1A" w14:textId="77777777" w:rsidR="001B24BF" w:rsidRDefault="001B24BF" w:rsidP="001B24BF">
      <w:pPr>
        <w:pStyle w:val="PlainText"/>
        <w:rPr>
          <w:rFonts w:ascii="Arial" w:hAnsi="Arial" w:cs="Arial"/>
          <w:b/>
        </w:rPr>
      </w:pPr>
      <w:r>
        <w:rPr>
          <w:rFonts w:ascii="Arial" w:hAnsi="Arial" w:cs="Arial"/>
          <w:b/>
          <w:bCs/>
        </w:rPr>
        <w:t>L</w:t>
      </w:r>
      <w:r w:rsidRPr="00290744">
        <w:rPr>
          <w:rFonts w:ascii="Arial" w:hAnsi="Arial" w:cs="Arial"/>
          <w:b/>
          <w:bCs/>
        </w:rPr>
        <w:t>Q</w:t>
      </w:r>
      <w:r>
        <w:rPr>
          <w:rFonts w:ascii="Arial" w:hAnsi="Arial" w:cs="Arial"/>
          <w:b/>
          <w:bCs/>
        </w:rPr>
        <w:t>1</w:t>
      </w:r>
      <w:r w:rsidRPr="00290744">
        <w:rPr>
          <w:rFonts w:ascii="Arial" w:hAnsi="Arial" w:cs="Arial"/>
          <w:b/>
          <w:bCs/>
        </w:rPr>
        <w:t>:</w:t>
      </w:r>
      <w:r w:rsidRPr="00290744">
        <w:rPr>
          <w:rFonts w:ascii="Arial" w:hAnsi="Arial" w:cs="Arial"/>
          <w:b/>
        </w:rPr>
        <w:t xml:space="preserve"> </w:t>
      </w:r>
      <w:r>
        <w:rPr>
          <w:rFonts w:ascii="Arial" w:hAnsi="Arial" w:cs="Arial"/>
          <w:b/>
        </w:rPr>
        <w:t>[Blank]</w:t>
      </w:r>
    </w:p>
    <w:p w14:paraId="47210D7F" w14:textId="77777777" w:rsidR="001B24BF" w:rsidRDefault="001B24BF" w:rsidP="001B24BF">
      <w:pPr>
        <w:pStyle w:val="PlainText"/>
        <w:rPr>
          <w:rFonts w:ascii="Arial" w:hAnsi="Arial" w:cs="Arial"/>
          <w:b/>
        </w:rPr>
      </w:pPr>
    </w:p>
    <w:p w14:paraId="5A0FA7DD" w14:textId="77777777" w:rsidR="001B24BF" w:rsidRPr="00290744" w:rsidRDefault="001B24BF" w:rsidP="001B24BF">
      <w:pPr>
        <w:pStyle w:val="PlainText"/>
        <w:rPr>
          <w:rFonts w:ascii="Arial" w:hAnsi="Arial" w:cs="Arial"/>
        </w:rPr>
      </w:pPr>
    </w:p>
    <w:p w14:paraId="25A7A440" w14:textId="77777777" w:rsidR="001B24BF" w:rsidRDefault="001B24BF" w:rsidP="001B24BF">
      <w:pPr>
        <w:pStyle w:val="PlainText"/>
        <w:rPr>
          <w:rFonts w:ascii="Arial" w:hAnsi="Arial" w:cs="Arial"/>
          <w:b/>
        </w:rPr>
      </w:pPr>
      <w:r>
        <w:rPr>
          <w:rFonts w:ascii="Arial" w:hAnsi="Arial" w:cs="Arial"/>
          <w:bCs/>
        </w:rPr>
        <w:t>L</w:t>
      </w:r>
      <w:r w:rsidRPr="001B24BF">
        <w:rPr>
          <w:rFonts w:ascii="Arial" w:hAnsi="Arial" w:cs="Arial"/>
          <w:bCs/>
        </w:rPr>
        <w:t>A1:</w:t>
      </w:r>
      <w:r w:rsidRPr="001B24BF">
        <w:rPr>
          <w:rFonts w:ascii="Arial" w:hAnsi="Arial" w:cs="Arial"/>
        </w:rPr>
        <w:t xml:space="preserve"> [Blank]</w:t>
      </w:r>
    </w:p>
    <w:p w14:paraId="2B54F25C" w14:textId="77777777" w:rsidR="001B24BF" w:rsidRPr="00084AE4" w:rsidRDefault="001B24BF" w:rsidP="00EA2340">
      <w:pPr>
        <w:jc w:val="both"/>
        <w:rPr>
          <w:rFonts w:ascii="Arial" w:hAnsi="Arial" w:cs="Arial"/>
        </w:rPr>
      </w:pPr>
    </w:p>
    <w:sectPr w:rsidR="001B24BF" w:rsidRPr="00084AE4" w:rsidSect="00EA2340">
      <w:footnotePr>
        <w:pos w:val="beneathText"/>
      </w:footnotePr>
      <w:pgSz w:w="11905" w:h="16837"/>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23022B"/>
    <w:multiLevelType w:val="hybridMultilevel"/>
    <w:tmpl w:val="236649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A220C4"/>
    <w:multiLevelType w:val="hybridMultilevel"/>
    <w:tmpl w:val="3ECC9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2AE1B29"/>
    <w:multiLevelType w:val="hybridMultilevel"/>
    <w:tmpl w:val="0ADAC846"/>
    <w:lvl w:ilvl="0" w:tplc="D16CD0C4">
      <w:start w:val="1"/>
      <w:numFmt w:val="lowerLetter"/>
      <w:lvlText w:val="%1)"/>
      <w:lvlJc w:val="left"/>
      <w:pPr>
        <w:ind w:left="2061" w:hanging="360"/>
      </w:pPr>
      <w:rPr>
        <w:rFonts w:ascii="Arial" w:eastAsia="Calibri" w:hAnsi="Arial" w:cs="Arial"/>
      </w:rPr>
    </w:lvl>
    <w:lvl w:ilvl="1" w:tplc="08090019">
      <w:start w:val="1"/>
      <w:numFmt w:val="decimal"/>
      <w:lvlText w:val="%2."/>
      <w:lvlJc w:val="left"/>
      <w:pPr>
        <w:tabs>
          <w:tab w:val="num" w:pos="2149"/>
        </w:tabs>
        <w:ind w:left="2149" w:hanging="360"/>
      </w:pPr>
    </w:lvl>
    <w:lvl w:ilvl="2" w:tplc="0809001B">
      <w:start w:val="1"/>
      <w:numFmt w:val="decimal"/>
      <w:lvlText w:val="%3."/>
      <w:lvlJc w:val="left"/>
      <w:pPr>
        <w:tabs>
          <w:tab w:val="num" w:pos="2869"/>
        </w:tabs>
        <w:ind w:left="2869" w:hanging="360"/>
      </w:pPr>
    </w:lvl>
    <w:lvl w:ilvl="3" w:tplc="0809000F">
      <w:start w:val="1"/>
      <w:numFmt w:val="decimal"/>
      <w:lvlText w:val="%4."/>
      <w:lvlJc w:val="left"/>
      <w:pPr>
        <w:tabs>
          <w:tab w:val="num" w:pos="3589"/>
        </w:tabs>
        <w:ind w:left="3589" w:hanging="360"/>
      </w:pPr>
    </w:lvl>
    <w:lvl w:ilvl="4" w:tplc="08090019">
      <w:start w:val="1"/>
      <w:numFmt w:val="decimal"/>
      <w:lvlText w:val="%5."/>
      <w:lvlJc w:val="left"/>
      <w:pPr>
        <w:tabs>
          <w:tab w:val="num" w:pos="4309"/>
        </w:tabs>
        <w:ind w:left="4309" w:hanging="360"/>
      </w:pPr>
    </w:lvl>
    <w:lvl w:ilvl="5" w:tplc="0809001B">
      <w:start w:val="1"/>
      <w:numFmt w:val="decimal"/>
      <w:lvlText w:val="%6."/>
      <w:lvlJc w:val="left"/>
      <w:pPr>
        <w:tabs>
          <w:tab w:val="num" w:pos="5029"/>
        </w:tabs>
        <w:ind w:left="5029" w:hanging="360"/>
      </w:pPr>
    </w:lvl>
    <w:lvl w:ilvl="6" w:tplc="0809000F">
      <w:start w:val="1"/>
      <w:numFmt w:val="decimal"/>
      <w:lvlText w:val="%7."/>
      <w:lvlJc w:val="left"/>
      <w:pPr>
        <w:tabs>
          <w:tab w:val="num" w:pos="5749"/>
        </w:tabs>
        <w:ind w:left="5749" w:hanging="360"/>
      </w:pPr>
    </w:lvl>
    <w:lvl w:ilvl="7" w:tplc="08090019">
      <w:start w:val="1"/>
      <w:numFmt w:val="decimal"/>
      <w:lvlText w:val="%8."/>
      <w:lvlJc w:val="left"/>
      <w:pPr>
        <w:tabs>
          <w:tab w:val="num" w:pos="6469"/>
        </w:tabs>
        <w:ind w:left="6469" w:hanging="360"/>
      </w:pPr>
    </w:lvl>
    <w:lvl w:ilvl="8" w:tplc="0809001B">
      <w:start w:val="1"/>
      <w:numFmt w:val="decimal"/>
      <w:lvlText w:val="%9."/>
      <w:lvlJc w:val="left"/>
      <w:pPr>
        <w:tabs>
          <w:tab w:val="num" w:pos="7189"/>
        </w:tabs>
        <w:ind w:left="7189" w:hanging="360"/>
      </w:pPr>
    </w:lvl>
  </w:abstractNum>
  <w:abstractNum w:abstractNumId="4" w15:restartNumberingAfterBreak="0">
    <w:nsid w:val="25446451"/>
    <w:multiLevelType w:val="hybridMultilevel"/>
    <w:tmpl w:val="9920EDF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DE7E8A"/>
    <w:multiLevelType w:val="hybridMultilevel"/>
    <w:tmpl w:val="A0AA1F6C"/>
    <w:lvl w:ilvl="0" w:tplc="AB349CD6">
      <w:start w:val="1"/>
      <w:numFmt w:val="decimal"/>
      <w:lvlText w:val="%1."/>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0382A"/>
    <w:multiLevelType w:val="hybridMultilevel"/>
    <w:tmpl w:val="E1063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B80154"/>
    <w:multiLevelType w:val="hybridMultilevel"/>
    <w:tmpl w:val="7B0638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DE20A5"/>
    <w:multiLevelType w:val="hybridMultilevel"/>
    <w:tmpl w:val="059EED6C"/>
    <w:lvl w:ilvl="0" w:tplc="08090015">
      <w:start w:val="1"/>
      <w:numFmt w:val="upperLetter"/>
      <w:lvlText w:val="%1."/>
      <w:lvlJc w:val="left"/>
      <w:pPr>
        <w:ind w:left="108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FFC383A"/>
    <w:multiLevelType w:val="hybridMultilevel"/>
    <w:tmpl w:val="DD1280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0E25E5"/>
    <w:multiLevelType w:val="hybridMultilevel"/>
    <w:tmpl w:val="D030400E"/>
    <w:lvl w:ilvl="0" w:tplc="08090019">
      <w:start w:val="1"/>
      <w:numFmt w:val="lowerLetter"/>
      <w:lvlText w:val="%1."/>
      <w:lvlJc w:val="left"/>
      <w:pPr>
        <w:ind w:left="-66" w:hanging="360"/>
      </w:pPr>
    </w:lvl>
    <w:lvl w:ilvl="1" w:tplc="08090019">
      <w:start w:val="1"/>
      <w:numFmt w:val="decimal"/>
      <w:lvlText w:val="%2."/>
      <w:lvlJc w:val="left"/>
      <w:pPr>
        <w:tabs>
          <w:tab w:val="num" w:pos="22"/>
        </w:tabs>
        <w:ind w:left="22" w:hanging="360"/>
      </w:pPr>
    </w:lvl>
    <w:lvl w:ilvl="2" w:tplc="0809001B">
      <w:start w:val="1"/>
      <w:numFmt w:val="decimal"/>
      <w:lvlText w:val="%3."/>
      <w:lvlJc w:val="left"/>
      <w:pPr>
        <w:tabs>
          <w:tab w:val="num" w:pos="742"/>
        </w:tabs>
        <w:ind w:left="742" w:hanging="360"/>
      </w:pPr>
    </w:lvl>
    <w:lvl w:ilvl="3" w:tplc="0809000F">
      <w:start w:val="1"/>
      <w:numFmt w:val="decimal"/>
      <w:lvlText w:val="%4."/>
      <w:lvlJc w:val="left"/>
      <w:pPr>
        <w:tabs>
          <w:tab w:val="num" w:pos="1462"/>
        </w:tabs>
        <w:ind w:left="1462" w:hanging="360"/>
      </w:pPr>
    </w:lvl>
    <w:lvl w:ilvl="4" w:tplc="08090019">
      <w:start w:val="1"/>
      <w:numFmt w:val="decimal"/>
      <w:lvlText w:val="%5."/>
      <w:lvlJc w:val="left"/>
      <w:pPr>
        <w:tabs>
          <w:tab w:val="num" w:pos="2182"/>
        </w:tabs>
        <w:ind w:left="2182" w:hanging="360"/>
      </w:pPr>
    </w:lvl>
    <w:lvl w:ilvl="5" w:tplc="0809001B">
      <w:start w:val="1"/>
      <w:numFmt w:val="decimal"/>
      <w:lvlText w:val="%6."/>
      <w:lvlJc w:val="left"/>
      <w:pPr>
        <w:tabs>
          <w:tab w:val="num" w:pos="2902"/>
        </w:tabs>
        <w:ind w:left="2902" w:hanging="360"/>
      </w:pPr>
    </w:lvl>
    <w:lvl w:ilvl="6" w:tplc="0809000F">
      <w:start w:val="1"/>
      <w:numFmt w:val="decimal"/>
      <w:lvlText w:val="%7."/>
      <w:lvlJc w:val="left"/>
      <w:pPr>
        <w:tabs>
          <w:tab w:val="num" w:pos="3622"/>
        </w:tabs>
        <w:ind w:left="3622" w:hanging="360"/>
      </w:pPr>
    </w:lvl>
    <w:lvl w:ilvl="7" w:tplc="08090019">
      <w:start w:val="1"/>
      <w:numFmt w:val="decimal"/>
      <w:lvlText w:val="%8."/>
      <w:lvlJc w:val="left"/>
      <w:pPr>
        <w:tabs>
          <w:tab w:val="num" w:pos="4342"/>
        </w:tabs>
        <w:ind w:left="4342" w:hanging="360"/>
      </w:pPr>
    </w:lvl>
    <w:lvl w:ilvl="8" w:tplc="0809001B">
      <w:start w:val="1"/>
      <w:numFmt w:val="decimal"/>
      <w:lvlText w:val="%9."/>
      <w:lvlJc w:val="left"/>
      <w:pPr>
        <w:tabs>
          <w:tab w:val="num" w:pos="5062"/>
        </w:tabs>
        <w:ind w:left="5062" w:hanging="360"/>
      </w:pPr>
    </w:lvl>
  </w:abstractNum>
  <w:abstractNum w:abstractNumId="11" w15:restartNumberingAfterBreak="0">
    <w:nsid w:val="5B631C83"/>
    <w:multiLevelType w:val="hybridMultilevel"/>
    <w:tmpl w:val="1D3AB4B8"/>
    <w:lvl w:ilvl="0" w:tplc="738C45F4">
      <w:start w:val="1"/>
      <w:numFmt w:val="decimal"/>
      <w:lvlText w:val="%1)"/>
      <w:lvlJc w:val="left"/>
      <w:pPr>
        <w:tabs>
          <w:tab w:val="num" w:pos="720"/>
        </w:tabs>
        <w:ind w:left="720" w:hanging="360"/>
      </w:pPr>
    </w:lvl>
    <w:lvl w:ilvl="1" w:tplc="276CD052" w:tentative="1">
      <w:start w:val="1"/>
      <w:numFmt w:val="decimal"/>
      <w:lvlText w:val="%2)"/>
      <w:lvlJc w:val="left"/>
      <w:pPr>
        <w:tabs>
          <w:tab w:val="num" w:pos="1440"/>
        </w:tabs>
        <w:ind w:left="1440" w:hanging="360"/>
      </w:pPr>
    </w:lvl>
    <w:lvl w:ilvl="2" w:tplc="82BE5C64" w:tentative="1">
      <w:start w:val="1"/>
      <w:numFmt w:val="decimal"/>
      <w:lvlText w:val="%3)"/>
      <w:lvlJc w:val="left"/>
      <w:pPr>
        <w:tabs>
          <w:tab w:val="num" w:pos="2160"/>
        </w:tabs>
        <w:ind w:left="2160" w:hanging="360"/>
      </w:pPr>
    </w:lvl>
    <w:lvl w:ilvl="3" w:tplc="D144B468" w:tentative="1">
      <w:start w:val="1"/>
      <w:numFmt w:val="decimal"/>
      <w:lvlText w:val="%4)"/>
      <w:lvlJc w:val="left"/>
      <w:pPr>
        <w:tabs>
          <w:tab w:val="num" w:pos="2880"/>
        </w:tabs>
        <w:ind w:left="2880" w:hanging="360"/>
      </w:pPr>
    </w:lvl>
    <w:lvl w:ilvl="4" w:tplc="AD8E8E96" w:tentative="1">
      <w:start w:val="1"/>
      <w:numFmt w:val="decimal"/>
      <w:lvlText w:val="%5)"/>
      <w:lvlJc w:val="left"/>
      <w:pPr>
        <w:tabs>
          <w:tab w:val="num" w:pos="3600"/>
        </w:tabs>
        <w:ind w:left="3600" w:hanging="360"/>
      </w:pPr>
    </w:lvl>
    <w:lvl w:ilvl="5" w:tplc="92E60646" w:tentative="1">
      <w:start w:val="1"/>
      <w:numFmt w:val="decimal"/>
      <w:lvlText w:val="%6)"/>
      <w:lvlJc w:val="left"/>
      <w:pPr>
        <w:tabs>
          <w:tab w:val="num" w:pos="4320"/>
        </w:tabs>
        <w:ind w:left="4320" w:hanging="360"/>
      </w:pPr>
    </w:lvl>
    <w:lvl w:ilvl="6" w:tplc="1EC0286A" w:tentative="1">
      <w:start w:val="1"/>
      <w:numFmt w:val="decimal"/>
      <w:lvlText w:val="%7)"/>
      <w:lvlJc w:val="left"/>
      <w:pPr>
        <w:tabs>
          <w:tab w:val="num" w:pos="5040"/>
        </w:tabs>
        <w:ind w:left="5040" w:hanging="360"/>
      </w:pPr>
    </w:lvl>
    <w:lvl w:ilvl="7" w:tplc="D0A4D128" w:tentative="1">
      <w:start w:val="1"/>
      <w:numFmt w:val="decimal"/>
      <w:lvlText w:val="%8)"/>
      <w:lvlJc w:val="left"/>
      <w:pPr>
        <w:tabs>
          <w:tab w:val="num" w:pos="5760"/>
        </w:tabs>
        <w:ind w:left="5760" w:hanging="360"/>
      </w:pPr>
    </w:lvl>
    <w:lvl w:ilvl="8" w:tplc="8B92C2E2" w:tentative="1">
      <w:start w:val="1"/>
      <w:numFmt w:val="decimal"/>
      <w:lvlText w:val="%9)"/>
      <w:lvlJc w:val="left"/>
      <w:pPr>
        <w:tabs>
          <w:tab w:val="num" w:pos="6480"/>
        </w:tabs>
        <w:ind w:left="6480" w:hanging="360"/>
      </w:pPr>
    </w:lvl>
  </w:abstractNum>
  <w:abstractNum w:abstractNumId="12" w15:restartNumberingAfterBreak="0">
    <w:nsid w:val="6E5A30E1"/>
    <w:multiLevelType w:val="hybridMultilevel"/>
    <w:tmpl w:val="BFA4AD0C"/>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15:restartNumberingAfterBreak="0">
    <w:nsid w:val="75A05CE4"/>
    <w:multiLevelType w:val="hybridMultilevel"/>
    <w:tmpl w:val="C2DE4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FA7728B"/>
    <w:multiLevelType w:val="hybridMultilevel"/>
    <w:tmpl w:val="2C287F86"/>
    <w:lvl w:ilvl="0" w:tplc="678011A2">
      <w:start w:val="1"/>
      <w:numFmt w:val="decimal"/>
      <w:lvlText w:val="%1."/>
      <w:lvlJc w:val="left"/>
      <w:pPr>
        <w:ind w:left="1211"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9"/>
  </w:num>
  <w:num w:numId="6">
    <w:abstractNumId w:val="6"/>
  </w:num>
  <w:num w:numId="7">
    <w:abstractNumId w:val="12"/>
  </w:num>
  <w:num w:numId="8">
    <w:abstractNumId w:val="14"/>
  </w:num>
  <w:num w:numId="9">
    <w:abstractNumId w:val="4"/>
  </w:num>
  <w:num w:numId="10">
    <w:abstractNumId w:val="8"/>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30"/>
    <w:rsid w:val="000261D4"/>
    <w:rsid w:val="00033802"/>
    <w:rsid w:val="000368DC"/>
    <w:rsid w:val="00040CBD"/>
    <w:rsid w:val="00041245"/>
    <w:rsid w:val="000438EA"/>
    <w:rsid w:val="0004761E"/>
    <w:rsid w:val="00060EAD"/>
    <w:rsid w:val="00066AAF"/>
    <w:rsid w:val="00074EFC"/>
    <w:rsid w:val="00077B70"/>
    <w:rsid w:val="00084AE4"/>
    <w:rsid w:val="000946AE"/>
    <w:rsid w:val="000A6EDA"/>
    <w:rsid w:val="000B5353"/>
    <w:rsid w:val="000B788D"/>
    <w:rsid w:val="000C7F8F"/>
    <w:rsid w:val="000E0CCF"/>
    <w:rsid w:val="000E25D0"/>
    <w:rsid w:val="000E467C"/>
    <w:rsid w:val="000E46C1"/>
    <w:rsid w:val="000F0727"/>
    <w:rsid w:val="000F3871"/>
    <w:rsid w:val="000F4F1A"/>
    <w:rsid w:val="000F4F93"/>
    <w:rsid w:val="00114783"/>
    <w:rsid w:val="0011744A"/>
    <w:rsid w:val="00146220"/>
    <w:rsid w:val="00147AE2"/>
    <w:rsid w:val="00166D20"/>
    <w:rsid w:val="00167E8E"/>
    <w:rsid w:val="00177BEE"/>
    <w:rsid w:val="00184FCB"/>
    <w:rsid w:val="0019005E"/>
    <w:rsid w:val="0019238F"/>
    <w:rsid w:val="001A314A"/>
    <w:rsid w:val="001A3732"/>
    <w:rsid w:val="001A5BE8"/>
    <w:rsid w:val="001B24BF"/>
    <w:rsid w:val="001B2997"/>
    <w:rsid w:val="001E6771"/>
    <w:rsid w:val="00204141"/>
    <w:rsid w:val="002169C6"/>
    <w:rsid w:val="00223690"/>
    <w:rsid w:val="002241EE"/>
    <w:rsid w:val="0022461C"/>
    <w:rsid w:val="0023046A"/>
    <w:rsid w:val="00230C2E"/>
    <w:rsid w:val="00253D61"/>
    <w:rsid w:val="00263230"/>
    <w:rsid w:val="0027640C"/>
    <w:rsid w:val="00281F14"/>
    <w:rsid w:val="00284A30"/>
    <w:rsid w:val="002856A4"/>
    <w:rsid w:val="00290744"/>
    <w:rsid w:val="002A08C7"/>
    <w:rsid w:val="002A3AD6"/>
    <w:rsid w:val="002A5385"/>
    <w:rsid w:val="002A7EFB"/>
    <w:rsid w:val="002B19B0"/>
    <w:rsid w:val="002C3EEB"/>
    <w:rsid w:val="002C623E"/>
    <w:rsid w:val="002D07EF"/>
    <w:rsid w:val="002D3B5F"/>
    <w:rsid w:val="002D5CDD"/>
    <w:rsid w:val="002E39BB"/>
    <w:rsid w:val="00301036"/>
    <w:rsid w:val="00312FC2"/>
    <w:rsid w:val="0031411F"/>
    <w:rsid w:val="00321407"/>
    <w:rsid w:val="00327CEF"/>
    <w:rsid w:val="0033253B"/>
    <w:rsid w:val="003334E7"/>
    <w:rsid w:val="00333694"/>
    <w:rsid w:val="00337062"/>
    <w:rsid w:val="003374DA"/>
    <w:rsid w:val="00337F36"/>
    <w:rsid w:val="003471D5"/>
    <w:rsid w:val="00353D8D"/>
    <w:rsid w:val="00357610"/>
    <w:rsid w:val="003606B5"/>
    <w:rsid w:val="003621A0"/>
    <w:rsid w:val="00364C49"/>
    <w:rsid w:val="00364F4B"/>
    <w:rsid w:val="00364FC4"/>
    <w:rsid w:val="003747DD"/>
    <w:rsid w:val="00375905"/>
    <w:rsid w:val="00392836"/>
    <w:rsid w:val="003A2C98"/>
    <w:rsid w:val="003B0912"/>
    <w:rsid w:val="003B69FC"/>
    <w:rsid w:val="003C66BA"/>
    <w:rsid w:val="003D479C"/>
    <w:rsid w:val="003D5D9F"/>
    <w:rsid w:val="003E1E0A"/>
    <w:rsid w:val="003E68AB"/>
    <w:rsid w:val="003F6562"/>
    <w:rsid w:val="00412B2E"/>
    <w:rsid w:val="00416B72"/>
    <w:rsid w:val="00427B5F"/>
    <w:rsid w:val="00444218"/>
    <w:rsid w:val="00460102"/>
    <w:rsid w:val="00460D47"/>
    <w:rsid w:val="0046501B"/>
    <w:rsid w:val="004665D3"/>
    <w:rsid w:val="0046759B"/>
    <w:rsid w:val="004713AA"/>
    <w:rsid w:val="00497DCB"/>
    <w:rsid w:val="004C43D7"/>
    <w:rsid w:val="004C51BE"/>
    <w:rsid w:val="004E5D6A"/>
    <w:rsid w:val="005157D1"/>
    <w:rsid w:val="00531388"/>
    <w:rsid w:val="00545DB9"/>
    <w:rsid w:val="00546D6C"/>
    <w:rsid w:val="0055117C"/>
    <w:rsid w:val="005517D6"/>
    <w:rsid w:val="00552507"/>
    <w:rsid w:val="00552602"/>
    <w:rsid w:val="005528B4"/>
    <w:rsid w:val="00553869"/>
    <w:rsid w:val="00561569"/>
    <w:rsid w:val="00576F37"/>
    <w:rsid w:val="00581FC8"/>
    <w:rsid w:val="00595DD5"/>
    <w:rsid w:val="0059613E"/>
    <w:rsid w:val="005A05D0"/>
    <w:rsid w:val="005A21A6"/>
    <w:rsid w:val="005A5EB6"/>
    <w:rsid w:val="005B795D"/>
    <w:rsid w:val="005C7602"/>
    <w:rsid w:val="005E0FBF"/>
    <w:rsid w:val="005E7B65"/>
    <w:rsid w:val="005F38B6"/>
    <w:rsid w:val="006078A2"/>
    <w:rsid w:val="00610631"/>
    <w:rsid w:val="00610685"/>
    <w:rsid w:val="006106E4"/>
    <w:rsid w:val="006138BE"/>
    <w:rsid w:val="006350AA"/>
    <w:rsid w:val="006375FB"/>
    <w:rsid w:val="00641202"/>
    <w:rsid w:val="006505CC"/>
    <w:rsid w:val="00652989"/>
    <w:rsid w:val="00676DA4"/>
    <w:rsid w:val="00687046"/>
    <w:rsid w:val="00692B39"/>
    <w:rsid w:val="00693976"/>
    <w:rsid w:val="0069563A"/>
    <w:rsid w:val="006A172C"/>
    <w:rsid w:val="006A2A93"/>
    <w:rsid w:val="006C0DC6"/>
    <w:rsid w:val="006C3B90"/>
    <w:rsid w:val="006C6120"/>
    <w:rsid w:val="006D2120"/>
    <w:rsid w:val="007040CB"/>
    <w:rsid w:val="00720285"/>
    <w:rsid w:val="00724656"/>
    <w:rsid w:val="00724D59"/>
    <w:rsid w:val="00734439"/>
    <w:rsid w:val="00742BB2"/>
    <w:rsid w:val="00742FFD"/>
    <w:rsid w:val="00743487"/>
    <w:rsid w:val="007457E2"/>
    <w:rsid w:val="0074645E"/>
    <w:rsid w:val="00753461"/>
    <w:rsid w:val="007828F0"/>
    <w:rsid w:val="0078582E"/>
    <w:rsid w:val="00786E83"/>
    <w:rsid w:val="007A1F62"/>
    <w:rsid w:val="007A71EF"/>
    <w:rsid w:val="007B18AC"/>
    <w:rsid w:val="007B3C88"/>
    <w:rsid w:val="007B6EC4"/>
    <w:rsid w:val="007C1CB7"/>
    <w:rsid w:val="007C4D4D"/>
    <w:rsid w:val="007C69EE"/>
    <w:rsid w:val="007D7B54"/>
    <w:rsid w:val="008015DC"/>
    <w:rsid w:val="00820D34"/>
    <w:rsid w:val="00830BBA"/>
    <w:rsid w:val="008329B1"/>
    <w:rsid w:val="0083404A"/>
    <w:rsid w:val="008351E7"/>
    <w:rsid w:val="00836ABB"/>
    <w:rsid w:val="00837C28"/>
    <w:rsid w:val="0084057B"/>
    <w:rsid w:val="00845571"/>
    <w:rsid w:val="0085406C"/>
    <w:rsid w:val="00860637"/>
    <w:rsid w:val="00862678"/>
    <w:rsid w:val="00864071"/>
    <w:rsid w:val="00865C04"/>
    <w:rsid w:val="00866DFB"/>
    <w:rsid w:val="00866FC6"/>
    <w:rsid w:val="00870C23"/>
    <w:rsid w:val="00881C02"/>
    <w:rsid w:val="00882301"/>
    <w:rsid w:val="0088529D"/>
    <w:rsid w:val="008855CA"/>
    <w:rsid w:val="00890BA4"/>
    <w:rsid w:val="00892673"/>
    <w:rsid w:val="008973D4"/>
    <w:rsid w:val="008A10AE"/>
    <w:rsid w:val="008A2933"/>
    <w:rsid w:val="008A3DE3"/>
    <w:rsid w:val="008D026F"/>
    <w:rsid w:val="008E05C9"/>
    <w:rsid w:val="008E3D42"/>
    <w:rsid w:val="00911DA6"/>
    <w:rsid w:val="009230E7"/>
    <w:rsid w:val="00935A5E"/>
    <w:rsid w:val="00940CEC"/>
    <w:rsid w:val="00946359"/>
    <w:rsid w:val="00950754"/>
    <w:rsid w:val="009522DF"/>
    <w:rsid w:val="009524C8"/>
    <w:rsid w:val="00952C6C"/>
    <w:rsid w:val="009567C3"/>
    <w:rsid w:val="00956DEC"/>
    <w:rsid w:val="00957E2B"/>
    <w:rsid w:val="0097723D"/>
    <w:rsid w:val="009821D2"/>
    <w:rsid w:val="00982710"/>
    <w:rsid w:val="0098654C"/>
    <w:rsid w:val="009868F0"/>
    <w:rsid w:val="00995227"/>
    <w:rsid w:val="009A3A22"/>
    <w:rsid w:val="009C1CFE"/>
    <w:rsid w:val="009C2523"/>
    <w:rsid w:val="009C2B83"/>
    <w:rsid w:val="009C3466"/>
    <w:rsid w:val="009C5E0A"/>
    <w:rsid w:val="009D3907"/>
    <w:rsid w:val="009D51AE"/>
    <w:rsid w:val="009E0E50"/>
    <w:rsid w:val="009E21CB"/>
    <w:rsid w:val="009F2DB4"/>
    <w:rsid w:val="00A102B1"/>
    <w:rsid w:val="00A23B62"/>
    <w:rsid w:val="00A308F0"/>
    <w:rsid w:val="00A3416D"/>
    <w:rsid w:val="00A349DC"/>
    <w:rsid w:val="00A50801"/>
    <w:rsid w:val="00A542B8"/>
    <w:rsid w:val="00A57D60"/>
    <w:rsid w:val="00A66978"/>
    <w:rsid w:val="00A70A84"/>
    <w:rsid w:val="00A72014"/>
    <w:rsid w:val="00A838EB"/>
    <w:rsid w:val="00A83AAF"/>
    <w:rsid w:val="00AA2090"/>
    <w:rsid w:val="00AA4AB2"/>
    <w:rsid w:val="00AB0F9C"/>
    <w:rsid w:val="00AB52D9"/>
    <w:rsid w:val="00AD230F"/>
    <w:rsid w:val="00AE2430"/>
    <w:rsid w:val="00AE6F47"/>
    <w:rsid w:val="00AF0BEE"/>
    <w:rsid w:val="00B01431"/>
    <w:rsid w:val="00B264A8"/>
    <w:rsid w:val="00B3561E"/>
    <w:rsid w:val="00B43CB7"/>
    <w:rsid w:val="00B50D7F"/>
    <w:rsid w:val="00B510B3"/>
    <w:rsid w:val="00B71F35"/>
    <w:rsid w:val="00B8629D"/>
    <w:rsid w:val="00B948C5"/>
    <w:rsid w:val="00B97411"/>
    <w:rsid w:val="00BA1A2C"/>
    <w:rsid w:val="00BB59BE"/>
    <w:rsid w:val="00BD52E1"/>
    <w:rsid w:val="00BF6BF8"/>
    <w:rsid w:val="00C0042F"/>
    <w:rsid w:val="00C11719"/>
    <w:rsid w:val="00C20023"/>
    <w:rsid w:val="00C203B0"/>
    <w:rsid w:val="00C32821"/>
    <w:rsid w:val="00C34D8A"/>
    <w:rsid w:val="00C46653"/>
    <w:rsid w:val="00C53CD8"/>
    <w:rsid w:val="00C540D7"/>
    <w:rsid w:val="00C57801"/>
    <w:rsid w:val="00C63DAF"/>
    <w:rsid w:val="00C705DE"/>
    <w:rsid w:val="00C7791F"/>
    <w:rsid w:val="00C87031"/>
    <w:rsid w:val="00C874CA"/>
    <w:rsid w:val="00C9077C"/>
    <w:rsid w:val="00C9265E"/>
    <w:rsid w:val="00CA2B4E"/>
    <w:rsid w:val="00CA431C"/>
    <w:rsid w:val="00CA4F1F"/>
    <w:rsid w:val="00CB1A4B"/>
    <w:rsid w:val="00CB6CEF"/>
    <w:rsid w:val="00CE3454"/>
    <w:rsid w:val="00CF012D"/>
    <w:rsid w:val="00CF05EB"/>
    <w:rsid w:val="00D02D9F"/>
    <w:rsid w:val="00D1079F"/>
    <w:rsid w:val="00D1082F"/>
    <w:rsid w:val="00D36D1F"/>
    <w:rsid w:val="00D42CD3"/>
    <w:rsid w:val="00D42E12"/>
    <w:rsid w:val="00D503C6"/>
    <w:rsid w:val="00D61726"/>
    <w:rsid w:val="00D62596"/>
    <w:rsid w:val="00D64CFB"/>
    <w:rsid w:val="00D72672"/>
    <w:rsid w:val="00D77DA7"/>
    <w:rsid w:val="00D86DFC"/>
    <w:rsid w:val="00D94022"/>
    <w:rsid w:val="00DA23DB"/>
    <w:rsid w:val="00DA72C2"/>
    <w:rsid w:val="00DB147C"/>
    <w:rsid w:val="00DB3BED"/>
    <w:rsid w:val="00DB77FB"/>
    <w:rsid w:val="00DC1132"/>
    <w:rsid w:val="00DC18C9"/>
    <w:rsid w:val="00DC3D30"/>
    <w:rsid w:val="00DC7BAD"/>
    <w:rsid w:val="00DE6D43"/>
    <w:rsid w:val="00DF5817"/>
    <w:rsid w:val="00E07B7E"/>
    <w:rsid w:val="00E160BE"/>
    <w:rsid w:val="00E24267"/>
    <w:rsid w:val="00E27128"/>
    <w:rsid w:val="00E34E70"/>
    <w:rsid w:val="00E41CF9"/>
    <w:rsid w:val="00E45921"/>
    <w:rsid w:val="00E62F22"/>
    <w:rsid w:val="00E63A2B"/>
    <w:rsid w:val="00E640DA"/>
    <w:rsid w:val="00E6510A"/>
    <w:rsid w:val="00E722B7"/>
    <w:rsid w:val="00E76E26"/>
    <w:rsid w:val="00E8323C"/>
    <w:rsid w:val="00E84B82"/>
    <w:rsid w:val="00E94880"/>
    <w:rsid w:val="00E94C91"/>
    <w:rsid w:val="00E97304"/>
    <w:rsid w:val="00EA2340"/>
    <w:rsid w:val="00EA6E85"/>
    <w:rsid w:val="00EB17F8"/>
    <w:rsid w:val="00EB2848"/>
    <w:rsid w:val="00EB3E22"/>
    <w:rsid w:val="00EB43C0"/>
    <w:rsid w:val="00EC17A4"/>
    <w:rsid w:val="00EC2190"/>
    <w:rsid w:val="00EC5602"/>
    <w:rsid w:val="00EC687F"/>
    <w:rsid w:val="00ED50F9"/>
    <w:rsid w:val="00EF0C1C"/>
    <w:rsid w:val="00EF5B1A"/>
    <w:rsid w:val="00F1237F"/>
    <w:rsid w:val="00F134FC"/>
    <w:rsid w:val="00F13943"/>
    <w:rsid w:val="00F16DA4"/>
    <w:rsid w:val="00F23B08"/>
    <w:rsid w:val="00F24BC8"/>
    <w:rsid w:val="00F251B7"/>
    <w:rsid w:val="00F30F7A"/>
    <w:rsid w:val="00F40462"/>
    <w:rsid w:val="00F5130E"/>
    <w:rsid w:val="00F52E36"/>
    <w:rsid w:val="00F5387D"/>
    <w:rsid w:val="00F666CF"/>
    <w:rsid w:val="00F7105E"/>
    <w:rsid w:val="00F737DA"/>
    <w:rsid w:val="00F82591"/>
    <w:rsid w:val="00F97042"/>
    <w:rsid w:val="00FA133B"/>
    <w:rsid w:val="00FA5E60"/>
    <w:rsid w:val="00FB0C38"/>
    <w:rsid w:val="00FB3B9D"/>
    <w:rsid w:val="00FB520B"/>
    <w:rsid w:val="00FE4C14"/>
    <w:rsid w:val="00FF2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451A"/>
  <w15:docId w15:val="{C6B21616-51F1-42EE-A2C8-247AA1B0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6D43"/>
    <w:pPr>
      <w:suppressAutoHyphens/>
    </w:pPr>
    <w:rPr>
      <w:sz w:val="24"/>
      <w:szCs w:val="24"/>
      <w:lang w:eastAsia="ar-SA"/>
    </w:rPr>
  </w:style>
  <w:style w:type="paragraph" w:styleId="Heading1">
    <w:name w:val="heading 1"/>
    <w:basedOn w:val="Normal"/>
    <w:next w:val="Normal"/>
    <w:qFormat/>
    <w:rsid w:val="00DE6D43"/>
    <w:pPr>
      <w:keepNext/>
      <w:tabs>
        <w:tab w:val="num" w:pos="0"/>
      </w:tabs>
      <w:outlineLvl w:val="0"/>
    </w:pPr>
    <w:rPr>
      <w:rFonts w:ascii="Arial" w:eastAsia="Arial Unicode MS" w:hAnsi="Arial" w:cs="Arial"/>
      <w:lang w:val="en-US"/>
    </w:rPr>
  </w:style>
  <w:style w:type="paragraph" w:styleId="Heading2">
    <w:name w:val="heading 2"/>
    <w:basedOn w:val="Normal"/>
    <w:next w:val="Normal"/>
    <w:qFormat/>
    <w:rsid w:val="00DE6D43"/>
    <w:pPr>
      <w:keepNext/>
      <w:tabs>
        <w:tab w:val="num" w:pos="0"/>
      </w:tabs>
      <w:autoSpaceDE w:val="0"/>
      <w:outlineLvl w:val="1"/>
    </w:pPr>
    <w:rPr>
      <w:rFonts w:ascii="Arial" w:hAnsi="Arial" w:cs="Arial"/>
      <w:b/>
      <w:bCs/>
      <w:lang w:val="en-US"/>
    </w:rPr>
  </w:style>
  <w:style w:type="paragraph" w:styleId="Heading3">
    <w:name w:val="heading 3"/>
    <w:basedOn w:val="Normal"/>
    <w:next w:val="Normal"/>
    <w:qFormat/>
    <w:rsid w:val="00DE6D43"/>
    <w:pPr>
      <w:keepNext/>
      <w:tabs>
        <w:tab w:val="num" w:pos="0"/>
      </w:tabs>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E6D43"/>
  </w:style>
  <w:style w:type="character" w:customStyle="1" w:styleId="WW-Absatz-Standardschriftart">
    <w:name w:val="WW-Absatz-Standardschriftart"/>
    <w:rsid w:val="00DE6D43"/>
  </w:style>
  <w:style w:type="character" w:customStyle="1" w:styleId="WW-Absatz-Standardschriftart1">
    <w:name w:val="WW-Absatz-Standardschriftart1"/>
    <w:rsid w:val="00DE6D43"/>
  </w:style>
  <w:style w:type="character" w:customStyle="1" w:styleId="WW8Num1z0">
    <w:name w:val="WW8Num1z0"/>
    <w:rsid w:val="00DE6D43"/>
    <w:rPr>
      <w:rFonts w:ascii="Symbol" w:hAnsi="Symbol"/>
      <w:sz w:val="20"/>
    </w:rPr>
  </w:style>
  <w:style w:type="character" w:customStyle="1" w:styleId="WW8Num1z1">
    <w:name w:val="WW8Num1z1"/>
    <w:rsid w:val="00DE6D43"/>
    <w:rPr>
      <w:rFonts w:ascii="Courier New" w:hAnsi="Courier New"/>
      <w:sz w:val="20"/>
    </w:rPr>
  </w:style>
  <w:style w:type="character" w:customStyle="1" w:styleId="WW8Num1z2">
    <w:name w:val="WW8Num1z2"/>
    <w:rsid w:val="00DE6D43"/>
    <w:rPr>
      <w:rFonts w:ascii="Wingdings" w:hAnsi="Wingdings"/>
      <w:sz w:val="20"/>
    </w:rPr>
  </w:style>
  <w:style w:type="character" w:styleId="Hyperlink">
    <w:name w:val="Hyperlink"/>
    <w:basedOn w:val="DefaultParagraphFont"/>
    <w:uiPriority w:val="99"/>
    <w:rsid w:val="00DE6D43"/>
    <w:rPr>
      <w:color w:val="0000FF"/>
      <w:u w:val="single"/>
    </w:rPr>
  </w:style>
  <w:style w:type="character" w:styleId="FollowedHyperlink">
    <w:name w:val="FollowedHyperlink"/>
    <w:basedOn w:val="DefaultParagraphFont"/>
    <w:rsid w:val="00DE6D43"/>
    <w:rPr>
      <w:color w:val="800080"/>
      <w:u w:val="single"/>
    </w:rPr>
  </w:style>
  <w:style w:type="character" w:styleId="Strong">
    <w:name w:val="Strong"/>
    <w:basedOn w:val="DefaultParagraphFont"/>
    <w:qFormat/>
    <w:rsid w:val="00DE6D43"/>
    <w:rPr>
      <w:b/>
      <w:bCs/>
    </w:rPr>
  </w:style>
  <w:style w:type="character" w:styleId="Emphasis">
    <w:name w:val="Emphasis"/>
    <w:basedOn w:val="DefaultParagraphFont"/>
    <w:qFormat/>
    <w:rsid w:val="00DE6D43"/>
    <w:rPr>
      <w:i/>
      <w:iCs/>
    </w:rPr>
  </w:style>
  <w:style w:type="character" w:customStyle="1" w:styleId="NumberingSymbols">
    <w:name w:val="Numbering Symbols"/>
    <w:rsid w:val="00DE6D43"/>
  </w:style>
  <w:style w:type="paragraph" w:customStyle="1" w:styleId="Heading">
    <w:name w:val="Heading"/>
    <w:basedOn w:val="Normal"/>
    <w:next w:val="BodyText"/>
    <w:rsid w:val="00DE6D43"/>
    <w:pPr>
      <w:keepNext/>
      <w:spacing w:before="240" w:after="120"/>
    </w:pPr>
    <w:rPr>
      <w:rFonts w:ascii="Arial" w:eastAsia="MS Mincho" w:hAnsi="Arial" w:cs="Tahoma"/>
      <w:sz w:val="28"/>
      <w:szCs w:val="28"/>
    </w:rPr>
  </w:style>
  <w:style w:type="paragraph" w:styleId="BodyText">
    <w:name w:val="Body Text"/>
    <w:basedOn w:val="Normal"/>
    <w:link w:val="BodyTextChar"/>
    <w:rsid w:val="00DE6D43"/>
    <w:rPr>
      <w:rFonts w:ascii="Arial" w:hAnsi="Arial" w:cs="Arial"/>
      <w:b/>
      <w:bCs/>
      <w:i/>
      <w:iCs/>
      <w:szCs w:val="20"/>
    </w:rPr>
  </w:style>
  <w:style w:type="paragraph" w:styleId="List">
    <w:name w:val="List"/>
    <w:basedOn w:val="BodyText"/>
    <w:rsid w:val="00DE6D43"/>
    <w:rPr>
      <w:rFonts w:cs="Tahoma"/>
    </w:rPr>
  </w:style>
  <w:style w:type="paragraph" w:styleId="Caption">
    <w:name w:val="caption"/>
    <w:basedOn w:val="Normal"/>
    <w:qFormat/>
    <w:rsid w:val="00DE6D43"/>
    <w:pPr>
      <w:suppressLineNumbers/>
      <w:spacing w:before="120" w:after="120"/>
    </w:pPr>
    <w:rPr>
      <w:rFonts w:cs="Tahoma"/>
      <w:i/>
      <w:iCs/>
    </w:rPr>
  </w:style>
  <w:style w:type="paragraph" w:customStyle="1" w:styleId="Index">
    <w:name w:val="Index"/>
    <w:basedOn w:val="Normal"/>
    <w:rsid w:val="00DE6D43"/>
    <w:pPr>
      <w:suppressLineNumbers/>
    </w:pPr>
    <w:rPr>
      <w:rFonts w:cs="Tahoma"/>
    </w:rPr>
  </w:style>
  <w:style w:type="paragraph" w:styleId="BodyTextIndent2">
    <w:name w:val="Body Text Indent 2"/>
    <w:basedOn w:val="Normal"/>
    <w:rsid w:val="00DE6D43"/>
    <w:pPr>
      <w:tabs>
        <w:tab w:val="left" w:pos="1080"/>
      </w:tabs>
      <w:ind w:left="720"/>
    </w:pPr>
    <w:rPr>
      <w:rFonts w:ascii="Arial" w:hAnsi="Arial" w:cs="Arial"/>
      <w:sz w:val="20"/>
      <w:szCs w:val="20"/>
      <w:lang w:val="en-US"/>
    </w:rPr>
  </w:style>
  <w:style w:type="paragraph" w:styleId="BlockText">
    <w:name w:val="Block Text"/>
    <w:basedOn w:val="Normal"/>
    <w:rsid w:val="00DE6D43"/>
    <w:pPr>
      <w:ind w:left="2160" w:right="720" w:hanging="360"/>
    </w:pPr>
    <w:rPr>
      <w:rFonts w:ascii="Arial" w:hAnsi="Arial" w:cs="Arial"/>
      <w:sz w:val="20"/>
      <w:szCs w:val="20"/>
      <w:lang w:val="en-US"/>
    </w:rPr>
  </w:style>
  <w:style w:type="paragraph" w:styleId="BodyText2">
    <w:name w:val="Body Text 2"/>
    <w:basedOn w:val="Normal"/>
    <w:rsid w:val="00DE6D43"/>
    <w:pPr>
      <w:jc w:val="both"/>
    </w:pPr>
    <w:rPr>
      <w:rFonts w:ascii="Arial" w:hAnsi="Arial" w:cs="Arial"/>
      <w:b/>
      <w:bCs/>
      <w:lang w:val="en-US"/>
    </w:rPr>
  </w:style>
  <w:style w:type="paragraph" w:styleId="BodyTextIndent">
    <w:name w:val="Body Text Indent"/>
    <w:basedOn w:val="Normal"/>
    <w:rsid w:val="00DE6D43"/>
    <w:pPr>
      <w:ind w:left="720" w:hanging="720"/>
      <w:jc w:val="both"/>
    </w:pPr>
    <w:rPr>
      <w:rFonts w:ascii="Arial" w:hAnsi="Arial" w:cs="Arial"/>
      <w:b/>
      <w:bCs/>
      <w:lang w:val="en-US"/>
    </w:rPr>
  </w:style>
  <w:style w:type="paragraph" w:styleId="BodyText3">
    <w:name w:val="Body Text 3"/>
    <w:basedOn w:val="Normal"/>
    <w:rsid w:val="00DE6D43"/>
    <w:pPr>
      <w:autoSpaceDE w:val="0"/>
    </w:pPr>
    <w:rPr>
      <w:rFonts w:ascii="Arial" w:hAnsi="Arial" w:cs="Arial"/>
      <w:b/>
      <w:bCs/>
      <w:lang w:val="en-US"/>
    </w:rPr>
  </w:style>
  <w:style w:type="paragraph" w:styleId="NormalWeb">
    <w:name w:val="Normal (Web)"/>
    <w:basedOn w:val="Normal"/>
    <w:uiPriority w:val="99"/>
    <w:rsid w:val="00DE6D43"/>
    <w:pPr>
      <w:spacing w:before="280" w:after="280"/>
    </w:pPr>
    <w:rPr>
      <w:rFonts w:ascii="Arial Unicode MS" w:eastAsia="Arial Unicode MS" w:hAnsi="Arial Unicode MS" w:cs="Arial Unicode MS"/>
    </w:rPr>
  </w:style>
  <w:style w:type="paragraph" w:customStyle="1" w:styleId="PreformattedText">
    <w:name w:val="Preformatted Text"/>
    <w:basedOn w:val="Normal"/>
    <w:rsid w:val="00DE6D43"/>
    <w:rPr>
      <w:rFonts w:ascii="Courier New" w:eastAsia="Courier New" w:hAnsi="Courier New" w:cs="Courier New"/>
      <w:sz w:val="20"/>
      <w:szCs w:val="20"/>
    </w:rPr>
  </w:style>
  <w:style w:type="paragraph" w:styleId="ListParagraph">
    <w:name w:val="List Paragraph"/>
    <w:basedOn w:val="Normal"/>
    <w:uiPriority w:val="34"/>
    <w:qFormat/>
    <w:rsid w:val="00F23B08"/>
    <w:pPr>
      <w:suppressAutoHyphens w:val="0"/>
      <w:ind w:left="720"/>
    </w:pPr>
    <w:rPr>
      <w:rFonts w:eastAsia="Calibri"/>
      <w:lang w:eastAsia="en-GB"/>
    </w:rPr>
  </w:style>
  <w:style w:type="paragraph" w:styleId="PlainText">
    <w:name w:val="Plain Text"/>
    <w:basedOn w:val="Normal"/>
    <w:link w:val="PlainTextChar"/>
    <w:uiPriority w:val="99"/>
    <w:unhideWhenUsed/>
    <w:rsid w:val="00B01431"/>
    <w:pPr>
      <w:suppressAutoHyphens w:val="0"/>
    </w:pPr>
    <w:rPr>
      <w:rFonts w:ascii="Courier New" w:hAnsi="Courier New" w:cs="Courier New"/>
      <w:lang w:eastAsia="en-GB"/>
    </w:rPr>
  </w:style>
  <w:style w:type="character" w:customStyle="1" w:styleId="PlainTextChar">
    <w:name w:val="Plain Text Char"/>
    <w:basedOn w:val="DefaultParagraphFont"/>
    <w:link w:val="PlainText"/>
    <w:uiPriority w:val="99"/>
    <w:rsid w:val="00B01431"/>
    <w:rPr>
      <w:rFonts w:ascii="Courier New" w:hAnsi="Courier New" w:cs="Courier New"/>
      <w:sz w:val="24"/>
      <w:szCs w:val="24"/>
    </w:rPr>
  </w:style>
  <w:style w:type="character" w:customStyle="1" w:styleId="BodyTextChar">
    <w:name w:val="Body Text Char"/>
    <w:basedOn w:val="DefaultParagraphFont"/>
    <w:link w:val="BodyText"/>
    <w:rsid w:val="000B5353"/>
    <w:rPr>
      <w:rFonts w:ascii="Arial" w:hAnsi="Arial" w:cs="Arial"/>
      <w:b/>
      <w:bCs/>
      <w:i/>
      <w:iCs/>
      <w:sz w:val="24"/>
      <w:lang w:eastAsia="ar-SA"/>
    </w:rPr>
  </w:style>
  <w:style w:type="paragraph" w:styleId="BalloonText">
    <w:name w:val="Balloon Text"/>
    <w:basedOn w:val="Normal"/>
    <w:link w:val="BalloonTextChar"/>
    <w:rsid w:val="00E41CF9"/>
    <w:rPr>
      <w:rFonts w:ascii="Tahoma" w:hAnsi="Tahoma" w:cs="Tahoma"/>
      <w:sz w:val="16"/>
      <w:szCs w:val="16"/>
    </w:rPr>
  </w:style>
  <w:style w:type="character" w:customStyle="1" w:styleId="BalloonTextChar">
    <w:name w:val="Balloon Text Char"/>
    <w:basedOn w:val="DefaultParagraphFont"/>
    <w:link w:val="BalloonText"/>
    <w:rsid w:val="00E41CF9"/>
    <w:rPr>
      <w:rFonts w:ascii="Tahoma" w:hAnsi="Tahoma" w:cs="Tahoma"/>
      <w:sz w:val="16"/>
      <w:szCs w:val="16"/>
      <w:lang w:eastAsia="ar-SA"/>
    </w:rPr>
  </w:style>
  <w:style w:type="character" w:styleId="CommentReference">
    <w:name w:val="annotation reference"/>
    <w:basedOn w:val="DefaultParagraphFont"/>
    <w:rsid w:val="00820D34"/>
    <w:rPr>
      <w:sz w:val="16"/>
      <w:szCs w:val="16"/>
    </w:rPr>
  </w:style>
  <w:style w:type="paragraph" w:styleId="CommentText">
    <w:name w:val="annotation text"/>
    <w:basedOn w:val="Normal"/>
    <w:link w:val="CommentTextChar"/>
    <w:rsid w:val="00820D34"/>
    <w:rPr>
      <w:sz w:val="20"/>
      <w:szCs w:val="20"/>
    </w:rPr>
  </w:style>
  <w:style w:type="character" w:customStyle="1" w:styleId="CommentTextChar">
    <w:name w:val="Comment Text Char"/>
    <w:basedOn w:val="DefaultParagraphFont"/>
    <w:link w:val="CommentText"/>
    <w:rsid w:val="00820D34"/>
    <w:rPr>
      <w:lang w:eastAsia="ar-SA"/>
    </w:rPr>
  </w:style>
  <w:style w:type="paragraph" w:styleId="CommentSubject">
    <w:name w:val="annotation subject"/>
    <w:basedOn w:val="CommentText"/>
    <w:next w:val="CommentText"/>
    <w:link w:val="CommentSubjectChar"/>
    <w:rsid w:val="00820D34"/>
    <w:rPr>
      <w:b/>
      <w:bCs/>
    </w:rPr>
  </w:style>
  <w:style w:type="character" w:customStyle="1" w:styleId="CommentSubjectChar">
    <w:name w:val="Comment Subject Char"/>
    <w:basedOn w:val="CommentTextChar"/>
    <w:link w:val="CommentSubject"/>
    <w:rsid w:val="00820D34"/>
    <w:rPr>
      <w:b/>
      <w:bCs/>
      <w:lang w:eastAsia="ar-SA"/>
    </w:rPr>
  </w:style>
  <w:style w:type="paragraph" w:customStyle="1" w:styleId="Default">
    <w:name w:val="Default"/>
    <w:basedOn w:val="Normal"/>
    <w:rsid w:val="00B97411"/>
    <w:pPr>
      <w:suppressAutoHyphens w:val="0"/>
      <w:autoSpaceDE w:val="0"/>
      <w:autoSpaceDN w:val="0"/>
    </w:pPr>
    <w:rPr>
      <w:rFonts w:ascii="Arial" w:eastAsiaTheme="minorHAnsi"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134">
      <w:bodyDiv w:val="1"/>
      <w:marLeft w:val="0"/>
      <w:marRight w:val="0"/>
      <w:marTop w:val="0"/>
      <w:marBottom w:val="0"/>
      <w:divBdr>
        <w:top w:val="none" w:sz="0" w:space="0" w:color="auto"/>
        <w:left w:val="none" w:sz="0" w:space="0" w:color="auto"/>
        <w:bottom w:val="none" w:sz="0" w:space="0" w:color="auto"/>
        <w:right w:val="none" w:sz="0" w:space="0" w:color="auto"/>
      </w:divBdr>
    </w:div>
    <w:div w:id="59140424">
      <w:bodyDiv w:val="1"/>
      <w:marLeft w:val="0"/>
      <w:marRight w:val="0"/>
      <w:marTop w:val="0"/>
      <w:marBottom w:val="0"/>
      <w:divBdr>
        <w:top w:val="none" w:sz="0" w:space="0" w:color="auto"/>
        <w:left w:val="none" w:sz="0" w:space="0" w:color="auto"/>
        <w:bottom w:val="none" w:sz="0" w:space="0" w:color="auto"/>
        <w:right w:val="none" w:sz="0" w:space="0" w:color="auto"/>
      </w:divBdr>
    </w:div>
    <w:div w:id="128405329">
      <w:bodyDiv w:val="1"/>
      <w:marLeft w:val="0"/>
      <w:marRight w:val="0"/>
      <w:marTop w:val="0"/>
      <w:marBottom w:val="0"/>
      <w:divBdr>
        <w:top w:val="none" w:sz="0" w:space="0" w:color="auto"/>
        <w:left w:val="none" w:sz="0" w:space="0" w:color="auto"/>
        <w:bottom w:val="none" w:sz="0" w:space="0" w:color="auto"/>
        <w:right w:val="none" w:sz="0" w:space="0" w:color="auto"/>
      </w:divBdr>
    </w:div>
    <w:div w:id="173957253">
      <w:bodyDiv w:val="1"/>
      <w:marLeft w:val="0"/>
      <w:marRight w:val="0"/>
      <w:marTop w:val="0"/>
      <w:marBottom w:val="0"/>
      <w:divBdr>
        <w:top w:val="none" w:sz="0" w:space="0" w:color="auto"/>
        <w:left w:val="none" w:sz="0" w:space="0" w:color="auto"/>
        <w:bottom w:val="none" w:sz="0" w:space="0" w:color="auto"/>
        <w:right w:val="none" w:sz="0" w:space="0" w:color="auto"/>
      </w:divBdr>
    </w:div>
    <w:div w:id="280498567">
      <w:bodyDiv w:val="1"/>
      <w:marLeft w:val="0"/>
      <w:marRight w:val="0"/>
      <w:marTop w:val="0"/>
      <w:marBottom w:val="0"/>
      <w:divBdr>
        <w:top w:val="none" w:sz="0" w:space="0" w:color="auto"/>
        <w:left w:val="none" w:sz="0" w:space="0" w:color="auto"/>
        <w:bottom w:val="none" w:sz="0" w:space="0" w:color="auto"/>
        <w:right w:val="none" w:sz="0" w:space="0" w:color="auto"/>
      </w:divBdr>
    </w:div>
    <w:div w:id="311521704">
      <w:bodyDiv w:val="1"/>
      <w:marLeft w:val="0"/>
      <w:marRight w:val="0"/>
      <w:marTop w:val="0"/>
      <w:marBottom w:val="0"/>
      <w:divBdr>
        <w:top w:val="none" w:sz="0" w:space="0" w:color="auto"/>
        <w:left w:val="none" w:sz="0" w:space="0" w:color="auto"/>
        <w:bottom w:val="none" w:sz="0" w:space="0" w:color="auto"/>
        <w:right w:val="none" w:sz="0" w:space="0" w:color="auto"/>
      </w:divBdr>
    </w:div>
    <w:div w:id="348336990">
      <w:bodyDiv w:val="1"/>
      <w:marLeft w:val="0"/>
      <w:marRight w:val="0"/>
      <w:marTop w:val="0"/>
      <w:marBottom w:val="0"/>
      <w:divBdr>
        <w:top w:val="none" w:sz="0" w:space="0" w:color="auto"/>
        <w:left w:val="none" w:sz="0" w:space="0" w:color="auto"/>
        <w:bottom w:val="none" w:sz="0" w:space="0" w:color="auto"/>
        <w:right w:val="none" w:sz="0" w:space="0" w:color="auto"/>
      </w:divBdr>
    </w:div>
    <w:div w:id="381758585">
      <w:bodyDiv w:val="1"/>
      <w:marLeft w:val="0"/>
      <w:marRight w:val="0"/>
      <w:marTop w:val="0"/>
      <w:marBottom w:val="0"/>
      <w:divBdr>
        <w:top w:val="none" w:sz="0" w:space="0" w:color="auto"/>
        <w:left w:val="none" w:sz="0" w:space="0" w:color="auto"/>
        <w:bottom w:val="none" w:sz="0" w:space="0" w:color="auto"/>
        <w:right w:val="none" w:sz="0" w:space="0" w:color="auto"/>
      </w:divBdr>
    </w:div>
    <w:div w:id="400912224">
      <w:bodyDiv w:val="1"/>
      <w:marLeft w:val="0"/>
      <w:marRight w:val="0"/>
      <w:marTop w:val="0"/>
      <w:marBottom w:val="0"/>
      <w:divBdr>
        <w:top w:val="none" w:sz="0" w:space="0" w:color="auto"/>
        <w:left w:val="none" w:sz="0" w:space="0" w:color="auto"/>
        <w:bottom w:val="none" w:sz="0" w:space="0" w:color="auto"/>
        <w:right w:val="none" w:sz="0" w:space="0" w:color="auto"/>
      </w:divBdr>
    </w:div>
    <w:div w:id="405614368">
      <w:bodyDiv w:val="1"/>
      <w:marLeft w:val="0"/>
      <w:marRight w:val="0"/>
      <w:marTop w:val="0"/>
      <w:marBottom w:val="0"/>
      <w:divBdr>
        <w:top w:val="none" w:sz="0" w:space="0" w:color="auto"/>
        <w:left w:val="none" w:sz="0" w:space="0" w:color="auto"/>
        <w:bottom w:val="none" w:sz="0" w:space="0" w:color="auto"/>
        <w:right w:val="none" w:sz="0" w:space="0" w:color="auto"/>
      </w:divBdr>
    </w:div>
    <w:div w:id="431055473">
      <w:bodyDiv w:val="1"/>
      <w:marLeft w:val="0"/>
      <w:marRight w:val="0"/>
      <w:marTop w:val="0"/>
      <w:marBottom w:val="0"/>
      <w:divBdr>
        <w:top w:val="none" w:sz="0" w:space="0" w:color="auto"/>
        <w:left w:val="none" w:sz="0" w:space="0" w:color="auto"/>
        <w:bottom w:val="none" w:sz="0" w:space="0" w:color="auto"/>
        <w:right w:val="none" w:sz="0" w:space="0" w:color="auto"/>
      </w:divBdr>
    </w:div>
    <w:div w:id="523174395">
      <w:bodyDiv w:val="1"/>
      <w:marLeft w:val="0"/>
      <w:marRight w:val="0"/>
      <w:marTop w:val="0"/>
      <w:marBottom w:val="0"/>
      <w:divBdr>
        <w:top w:val="none" w:sz="0" w:space="0" w:color="auto"/>
        <w:left w:val="none" w:sz="0" w:space="0" w:color="auto"/>
        <w:bottom w:val="none" w:sz="0" w:space="0" w:color="auto"/>
        <w:right w:val="none" w:sz="0" w:space="0" w:color="auto"/>
      </w:divBdr>
    </w:div>
    <w:div w:id="541602628">
      <w:bodyDiv w:val="1"/>
      <w:marLeft w:val="0"/>
      <w:marRight w:val="0"/>
      <w:marTop w:val="0"/>
      <w:marBottom w:val="0"/>
      <w:divBdr>
        <w:top w:val="none" w:sz="0" w:space="0" w:color="auto"/>
        <w:left w:val="none" w:sz="0" w:space="0" w:color="auto"/>
        <w:bottom w:val="none" w:sz="0" w:space="0" w:color="auto"/>
        <w:right w:val="none" w:sz="0" w:space="0" w:color="auto"/>
      </w:divBdr>
    </w:div>
    <w:div w:id="553392289">
      <w:bodyDiv w:val="1"/>
      <w:marLeft w:val="0"/>
      <w:marRight w:val="0"/>
      <w:marTop w:val="0"/>
      <w:marBottom w:val="0"/>
      <w:divBdr>
        <w:top w:val="none" w:sz="0" w:space="0" w:color="auto"/>
        <w:left w:val="none" w:sz="0" w:space="0" w:color="auto"/>
        <w:bottom w:val="none" w:sz="0" w:space="0" w:color="auto"/>
        <w:right w:val="none" w:sz="0" w:space="0" w:color="auto"/>
      </w:divBdr>
    </w:div>
    <w:div w:id="597442664">
      <w:bodyDiv w:val="1"/>
      <w:marLeft w:val="0"/>
      <w:marRight w:val="0"/>
      <w:marTop w:val="0"/>
      <w:marBottom w:val="0"/>
      <w:divBdr>
        <w:top w:val="none" w:sz="0" w:space="0" w:color="auto"/>
        <w:left w:val="none" w:sz="0" w:space="0" w:color="auto"/>
        <w:bottom w:val="none" w:sz="0" w:space="0" w:color="auto"/>
        <w:right w:val="none" w:sz="0" w:space="0" w:color="auto"/>
      </w:divBdr>
    </w:div>
    <w:div w:id="616719084">
      <w:bodyDiv w:val="1"/>
      <w:marLeft w:val="0"/>
      <w:marRight w:val="0"/>
      <w:marTop w:val="0"/>
      <w:marBottom w:val="0"/>
      <w:divBdr>
        <w:top w:val="none" w:sz="0" w:space="0" w:color="auto"/>
        <w:left w:val="none" w:sz="0" w:space="0" w:color="auto"/>
        <w:bottom w:val="none" w:sz="0" w:space="0" w:color="auto"/>
        <w:right w:val="none" w:sz="0" w:space="0" w:color="auto"/>
      </w:divBdr>
    </w:div>
    <w:div w:id="723261261">
      <w:bodyDiv w:val="1"/>
      <w:marLeft w:val="0"/>
      <w:marRight w:val="0"/>
      <w:marTop w:val="0"/>
      <w:marBottom w:val="0"/>
      <w:divBdr>
        <w:top w:val="none" w:sz="0" w:space="0" w:color="auto"/>
        <w:left w:val="none" w:sz="0" w:space="0" w:color="auto"/>
        <w:bottom w:val="none" w:sz="0" w:space="0" w:color="auto"/>
        <w:right w:val="none" w:sz="0" w:space="0" w:color="auto"/>
      </w:divBdr>
    </w:div>
    <w:div w:id="873350221">
      <w:bodyDiv w:val="1"/>
      <w:marLeft w:val="0"/>
      <w:marRight w:val="0"/>
      <w:marTop w:val="0"/>
      <w:marBottom w:val="0"/>
      <w:divBdr>
        <w:top w:val="none" w:sz="0" w:space="0" w:color="auto"/>
        <w:left w:val="none" w:sz="0" w:space="0" w:color="auto"/>
        <w:bottom w:val="none" w:sz="0" w:space="0" w:color="auto"/>
        <w:right w:val="none" w:sz="0" w:space="0" w:color="auto"/>
      </w:divBdr>
    </w:div>
    <w:div w:id="995914803">
      <w:bodyDiv w:val="1"/>
      <w:marLeft w:val="0"/>
      <w:marRight w:val="0"/>
      <w:marTop w:val="0"/>
      <w:marBottom w:val="0"/>
      <w:divBdr>
        <w:top w:val="none" w:sz="0" w:space="0" w:color="auto"/>
        <w:left w:val="none" w:sz="0" w:space="0" w:color="auto"/>
        <w:bottom w:val="none" w:sz="0" w:space="0" w:color="auto"/>
        <w:right w:val="none" w:sz="0" w:space="0" w:color="auto"/>
      </w:divBdr>
    </w:div>
    <w:div w:id="1048839767">
      <w:bodyDiv w:val="1"/>
      <w:marLeft w:val="0"/>
      <w:marRight w:val="0"/>
      <w:marTop w:val="0"/>
      <w:marBottom w:val="0"/>
      <w:divBdr>
        <w:top w:val="none" w:sz="0" w:space="0" w:color="auto"/>
        <w:left w:val="none" w:sz="0" w:space="0" w:color="auto"/>
        <w:bottom w:val="none" w:sz="0" w:space="0" w:color="auto"/>
        <w:right w:val="none" w:sz="0" w:space="0" w:color="auto"/>
      </w:divBdr>
    </w:div>
    <w:div w:id="1110005989">
      <w:bodyDiv w:val="1"/>
      <w:marLeft w:val="0"/>
      <w:marRight w:val="0"/>
      <w:marTop w:val="0"/>
      <w:marBottom w:val="0"/>
      <w:divBdr>
        <w:top w:val="none" w:sz="0" w:space="0" w:color="auto"/>
        <w:left w:val="none" w:sz="0" w:space="0" w:color="auto"/>
        <w:bottom w:val="none" w:sz="0" w:space="0" w:color="auto"/>
        <w:right w:val="none" w:sz="0" w:space="0" w:color="auto"/>
      </w:divBdr>
    </w:div>
    <w:div w:id="1150563105">
      <w:bodyDiv w:val="1"/>
      <w:marLeft w:val="0"/>
      <w:marRight w:val="0"/>
      <w:marTop w:val="0"/>
      <w:marBottom w:val="0"/>
      <w:divBdr>
        <w:top w:val="none" w:sz="0" w:space="0" w:color="auto"/>
        <w:left w:val="none" w:sz="0" w:space="0" w:color="auto"/>
        <w:bottom w:val="none" w:sz="0" w:space="0" w:color="auto"/>
        <w:right w:val="none" w:sz="0" w:space="0" w:color="auto"/>
      </w:divBdr>
    </w:div>
    <w:div w:id="1257447656">
      <w:bodyDiv w:val="1"/>
      <w:marLeft w:val="0"/>
      <w:marRight w:val="0"/>
      <w:marTop w:val="0"/>
      <w:marBottom w:val="0"/>
      <w:divBdr>
        <w:top w:val="none" w:sz="0" w:space="0" w:color="auto"/>
        <w:left w:val="none" w:sz="0" w:space="0" w:color="auto"/>
        <w:bottom w:val="none" w:sz="0" w:space="0" w:color="auto"/>
        <w:right w:val="none" w:sz="0" w:space="0" w:color="auto"/>
      </w:divBdr>
    </w:div>
    <w:div w:id="1306200478">
      <w:bodyDiv w:val="1"/>
      <w:marLeft w:val="0"/>
      <w:marRight w:val="0"/>
      <w:marTop w:val="0"/>
      <w:marBottom w:val="0"/>
      <w:divBdr>
        <w:top w:val="none" w:sz="0" w:space="0" w:color="auto"/>
        <w:left w:val="none" w:sz="0" w:space="0" w:color="auto"/>
        <w:bottom w:val="none" w:sz="0" w:space="0" w:color="auto"/>
        <w:right w:val="none" w:sz="0" w:space="0" w:color="auto"/>
      </w:divBdr>
    </w:div>
    <w:div w:id="1343164278">
      <w:bodyDiv w:val="1"/>
      <w:marLeft w:val="0"/>
      <w:marRight w:val="0"/>
      <w:marTop w:val="0"/>
      <w:marBottom w:val="0"/>
      <w:divBdr>
        <w:top w:val="none" w:sz="0" w:space="0" w:color="auto"/>
        <w:left w:val="none" w:sz="0" w:space="0" w:color="auto"/>
        <w:bottom w:val="none" w:sz="0" w:space="0" w:color="auto"/>
        <w:right w:val="none" w:sz="0" w:space="0" w:color="auto"/>
      </w:divBdr>
    </w:div>
    <w:div w:id="1454061619">
      <w:bodyDiv w:val="1"/>
      <w:marLeft w:val="0"/>
      <w:marRight w:val="0"/>
      <w:marTop w:val="0"/>
      <w:marBottom w:val="0"/>
      <w:divBdr>
        <w:top w:val="none" w:sz="0" w:space="0" w:color="auto"/>
        <w:left w:val="none" w:sz="0" w:space="0" w:color="auto"/>
        <w:bottom w:val="none" w:sz="0" w:space="0" w:color="auto"/>
        <w:right w:val="none" w:sz="0" w:space="0" w:color="auto"/>
      </w:divBdr>
    </w:div>
    <w:div w:id="1513490280">
      <w:bodyDiv w:val="1"/>
      <w:marLeft w:val="0"/>
      <w:marRight w:val="0"/>
      <w:marTop w:val="0"/>
      <w:marBottom w:val="0"/>
      <w:divBdr>
        <w:top w:val="none" w:sz="0" w:space="0" w:color="auto"/>
        <w:left w:val="none" w:sz="0" w:space="0" w:color="auto"/>
        <w:bottom w:val="none" w:sz="0" w:space="0" w:color="auto"/>
        <w:right w:val="none" w:sz="0" w:space="0" w:color="auto"/>
      </w:divBdr>
    </w:div>
    <w:div w:id="1661615039">
      <w:bodyDiv w:val="1"/>
      <w:marLeft w:val="0"/>
      <w:marRight w:val="0"/>
      <w:marTop w:val="0"/>
      <w:marBottom w:val="0"/>
      <w:divBdr>
        <w:top w:val="none" w:sz="0" w:space="0" w:color="auto"/>
        <w:left w:val="none" w:sz="0" w:space="0" w:color="auto"/>
        <w:bottom w:val="none" w:sz="0" w:space="0" w:color="auto"/>
        <w:right w:val="none" w:sz="0" w:space="0" w:color="auto"/>
      </w:divBdr>
    </w:div>
    <w:div w:id="1707756601">
      <w:bodyDiv w:val="1"/>
      <w:marLeft w:val="0"/>
      <w:marRight w:val="0"/>
      <w:marTop w:val="0"/>
      <w:marBottom w:val="0"/>
      <w:divBdr>
        <w:top w:val="none" w:sz="0" w:space="0" w:color="auto"/>
        <w:left w:val="none" w:sz="0" w:space="0" w:color="auto"/>
        <w:bottom w:val="none" w:sz="0" w:space="0" w:color="auto"/>
        <w:right w:val="none" w:sz="0" w:space="0" w:color="auto"/>
      </w:divBdr>
    </w:div>
    <w:div w:id="1720278670">
      <w:bodyDiv w:val="1"/>
      <w:marLeft w:val="0"/>
      <w:marRight w:val="0"/>
      <w:marTop w:val="0"/>
      <w:marBottom w:val="0"/>
      <w:divBdr>
        <w:top w:val="none" w:sz="0" w:space="0" w:color="auto"/>
        <w:left w:val="none" w:sz="0" w:space="0" w:color="auto"/>
        <w:bottom w:val="none" w:sz="0" w:space="0" w:color="auto"/>
        <w:right w:val="none" w:sz="0" w:space="0" w:color="auto"/>
      </w:divBdr>
    </w:div>
    <w:div w:id="1800807307">
      <w:bodyDiv w:val="1"/>
      <w:marLeft w:val="0"/>
      <w:marRight w:val="0"/>
      <w:marTop w:val="0"/>
      <w:marBottom w:val="0"/>
      <w:divBdr>
        <w:top w:val="none" w:sz="0" w:space="0" w:color="auto"/>
        <w:left w:val="none" w:sz="0" w:space="0" w:color="auto"/>
        <w:bottom w:val="none" w:sz="0" w:space="0" w:color="auto"/>
        <w:right w:val="none" w:sz="0" w:space="0" w:color="auto"/>
      </w:divBdr>
    </w:div>
    <w:div w:id="1908566281">
      <w:bodyDiv w:val="1"/>
      <w:marLeft w:val="0"/>
      <w:marRight w:val="0"/>
      <w:marTop w:val="0"/>
      <w:marBottom w:val="0"/>
      <w:divBdr>
        <w:top w:val="none" w:sz="0" w:space="0" w:color="auto"/>
        <w:left w:val="none" w:sz="0" w:space="0" w:color="auto"/>
        <w:bottom w:val="none" w:sz="0" w:space="0" w:color="auto"/>
        <w:right w:val="none" w:sz="0" w:space="0" w:color="auto"/>
      </w:divBdr>
    </w:div>
    <w:div w:id="1916738652">
      <w:bodyDiv w:val="1"/>
      <w:marLeft w:val="0"/>
      <w:marRight w:val="0"/>
      <w:marTop w:val="0"/>
      <w:marBottom w:val="0"/>
      <w:divBdr>
        <w:top w:val="none" w:sz="0" w:space="0" w:color="auto"/>
        <w:left w:val="none" w:sz="0" w:space="0" w:color="auto"/>
        <w:bottom w:val="none" w:sz="0" w:space="0" w:color="auto"/>
        <w:right w:val="none" w:sz="0" w:space="0" w:color="auto"/>
      </w:divBdr>
    </w:div>
    <w:div w:id="1922834192">
      <w:bodyDiv w:val="1"/>
      <w:marLeft w:val="0"/>
      <w:marRight w:val="0"/>
      <w:marTop w:val="0"/>
      <w:marBottom w:val="0"/>
      <w:divBdr>
        <w:top w:val="none" w:sz="0" w:space="0" w:color="auto"/>
        <w:left w:val="none" w:sz="0" w:space="0" w:color="auto"/>
        <w:bottom w:val="none" w:sz="0" w:space="0" w:color="auto"/>
        <w:right w:val="none" w:sz="0" w:space="0" w:color="auto"/>
      </w:divBdr>
    </w:div>
    <w:div w:id="1934589422">
      <w:bodyDiv w:val="1"/>
      <w:marLeft w:val="0"/>
      <w:marRight w:val="0"/>
      <w:marTop w:val="0"/>
      <w:marBottom w:val="0"/>
      <w:divBdr>
        <w:top w:val="none" w:sz="0" w:space="0" w:color="auto"/>
        <w:left w:val="none" w:sz="0" w:space="0" w:color="auto"/>
        <w:bottom w:val="none" w:sz="0" w:space="0" w:color="auto"/>
        <w:right w:val="none" w:sz="0" w:space="0" w:color="auto"/>
      </w:divBdr>
    </w:div>
    <w:div w:id="2007435506">
      <w:bodyDiv w:val="1"/>
      <w:marLeft w:val="0"/>
      <w:marRight w:val="0"/>
      <w:marTop w:val="0"/>
      <w:marBottom w:val="0"/>
      <w:divBdr>
        <w:top w:val="none" w:sz="0" w:space="0" w:color="auto"/>
        <w:left w:val="none" w:sz="0" w:space="0" w:color="auto"/>
        <w:bottom w:val="none" w:sz="0" w:space="0" w:color="auto"/>
        <w:right w:val="none" w:sz="0" w:space="0" w:color="auto"/>
      </w:divBdr>
    </w:div>
    <w:div w:id="2141223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op@ogauthority.co.uk" TargetMode="External"/><Relationship Id="rId3" Type="http://schemas.openxmlformats.org/officeDocument/2006/relationships/styles" Target="styles.xml"/><Relationship Id="rId7" Type="http://schemas.openxmlformats.org/officeDocument/2006/relationships/hyperlink" Target="mailto:Ricki.Kiff@ogauthority.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n.Brzozowska@ogauthority.co.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mea01.safelinks.protection.outlook.com/?url=https%3A%2F%2Fwww.ogauthority.co.uk%2Fmedia%2F3974%2Fmarks-scheme-reference-sheet.pdf&amp;data=02%7C01%7Cjen.brzozowska%40ogauthority.co.uk%7Cbbcea955725546a6ee8708d519fee21d%7Ce681c59d868e488780face36f1f21b0f%7C0%7C1%7C636443504866401298&amp;sdata=dwptj79q9njr3B5sZLPpHbkEzIG9NXuKJCnx5RheWes%3D&amp;reserved=0"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7FAB5-B516-4DE7-B86B-344ACB41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4847</Words>
  <Characters>27628</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QUESTIONS RAISED IN CONNECTION WITH THE</vt:lpstr>
    </vt:vector>
  </TitlesOfParts>
  <Company>DTI</Company>
  <LinksUpToDate>false</LinksUpToDate>
  <CharactersWithSpaces>32411</CharactersWithSpaces>
  <SharedDoc>false</SharedDoc>
  <HLinks>
    <vt:vector size="12" baseType="variant">
      <vt:variant>
        <vt:i4>3014725</vt:i4>
      </vt:variant>
      <vt:variant>
        <vt:i4>3</vt:i4>
      </vt:variant>
      <vt:variant>
        <vt:i4>0</vt:i4>
      </vt:variant>
      <vt:variant>
        <vt:i4>5</vt:i4>
      </vt:variant>
      <vt:variant>
        <vt:lpwstr>mailto:peter.haile@decc.gsi.gov.uk</vt:lpwstr>
      </vt:variant>
      <vt:variant>
        <vt:lpwstr/>
      </vt:variant>
      <vt:variant>
        <vt:i4>3407956</vt:i4>
      </vt:variant>
      <vt:variant>
        <vt:i4>0</vt:i4>
      </vt:variant>
      <vt:variant>
        <vt:i4>0</vt:i4>
      </vt:variant>
      <vt:variant>
        <vt:i4>5</vt:i4>
      </vt:variant>
      <vt:variant>
        <vt:lpwstr>mailto:jen.brzozowska@decc.gsi.gov.uk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RAISED IN CONNECTION WITH THE</dc:title>
  <dc:creator>rbkiff</dc:creator>
  <cp:lastModifiedBy>Ian Furneaux (Oil &amp; Gas Authority)</cp:lastModifiedBy>
  <cp:revision>2</cp:revision>
  <cp:lastPrinted>2017-11-09T16:41:00Z</cp:lastPrinted>
  <dcterms:created xsi:type="dcterms:W3CDTF">2017-11-10T13:27:00Z</dcterms:created>
  <dcterms:modified xsi:type="dcterms:W3CDTF">2017-11-10T13:27:00Z</dcterms:modified>
</cp:coreProperties>
</file>