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622A3" w14:textId="77777777" w:rsidR="00112AC7" w:rsidRPr="00112AC7" w:rsidRDefault="00112AC7" w:rsidP="00112AC7">
      <w:pPr>
        <w:keepNext/>
        <w:keepLines/>
        <w:spacing w:before="200" w:after="100" w:afterAutospacing="1" w:line="360" w:lineRule="auto"/>
        <w:mirrorIndents/>
        <w:jc w:val="both"/>
        <w:outlineLvl w:val="1"/>
        <w:rPr>
          <w:rFonts w:ascii="Arial" w:eastAsiaTheme="majorEastAsia" w:hAnsi="Arial" w:cstheme="majorBidi"/>
          <w:b/>
          <w:bCs/>
          <w:color w:val="00B0F0"/>
          <w:sz w:val="28"/>
          <w:szCs w:val="26"/>
        </w:rPr>
      </w:pPr>
      <w:bookmarkStart w:id="0" w:name="_Toc498090852"/>
      <w:bookmarkStart w:id="1" w:name="_Toc499638191"/>
      <w:r w:rsidRPr="00112AC7">
        <w:rPr>
          <w:rFonts w:ascii="Arial" w:eastAsiaTheme="majorEastAsia" w:hAnsi="Arial" w:cstheme="majorBidi"/>
          <w:b/>
          <w:bCs/>
          <w:color w:val="00B0F0"/>
          <w:sz w:val="28"/>
          <w:szCs w:val="26"/>
        </w:rPr>
        <w:t>Licence Relinquishment Reports</w:t>
      </w:r>
      <w:bookmarkEnd w:id="0"/>
      <w:bookmarkEnd w:id="1"/>
      <w:r w:rsidRPr="00112AC7">
        <w:rPr>
          <w:rFonts w:ascii="Arial" w:eastAsiaTheme="majorEastAsia" w:hAnsi="Arial" w:cstheme="majorBidi"/>
          <w:b/>
          <w:bCs/>
          <w:color w:val="00B0F0"/>
          <w:sz w:val="28"/>
          <w:szCs w:val="26"/>
        </w:rPr>
        <w:t xml:space="preserve"> </w:t>
      </w:r>
    </w:p>
    <w:p w14:paraId="20EBA58D" w14:textId="77777777" w:rsidR="00112AC7" w:rsidRPr="00112AC7" w:rsidRDefault="00112AC7" w:rsidP="00112AC7">
      <w:pPr>
        <w:spacing w:after="200" w:line="360" w:lineRule="auto"/>
        <w:mirrorIndents/>
        <w:jc w:val="both"/>
        <w:rPr>
          <w:rFonts w:ascii="Arial" w:eastAsia="Calibri" w:hAnsi="Arial" w:cs="Arial"/>
          <w:sz w:val="24"/>
          <w:szCs w:val="24"/>
        </w:rPr>
      </w:pPr>
      <w:r w:rsidRPr="00112AC7">
        <w:rPr>
          <w:rFonts w:ascii="Arial" w:eastAsia="Calibri" w:hAnsi="Arial" w:cs="Arial"/>
          <w:sz w:val="24"/>
          <w:szCs w:val="24"/>
        </w:rPr>
        <w:t xml:space="preserve">Upon relinquishing or partially relinquishing a licence, the licence operator is required to send the OGA a Relinquishment Report within three months of the licence being relinquished, and these reports are made available in the public domain on UKOGL under </w:t>
      </w:r>
      <w:hyperlink r:id="rId5">
        <w:r w:rsidRPr="00112AC7">
          <w:rPr>
            <w:rFonts w:ascii="Arial" w:eastAsia="Calibri" w:hAnsi="Arial" w:cs="Arial"/>
            <w:color w:val="0000FF"/>
            <w:sz w:val="24"/>
            <w:szCs w:val="24"/>
            <w:u w:val="single"/>
          </w:rPr>
          <w:t>Industry Activity Reports</w:t>
        </w:r>
      </w:hyperlink>
      <w:r w:rsidRPr="00112AC7">
        <w:rPr>
          <w:rFonts w:ascii="Arial" w:eastAsia="Calibri" w:hAnsi="Arial" w:cs="Arial"/>
          <w:sz w:val="24"/>
          <w:szCs w:val="24"/>
        </w:rPr>
        <w:t xml:space="preserve">.  Relinquishment reports should be sent to the onshore team (onshore@ogauthority.co.uk) </w:t>
      </w:r>
    </w:p>
    <w:p w14:paraId="0B3AE000" w14:textId="77777777" w:rsidR="00112AC7" w:rsidRPr="00112AC7" w:rsidRDefault="00112AC7" w:rsidP="00112AC7">
      <w:pPr>
        <w:spacing w:after="200" w:line="360" w:lineRule="auto"/>
        <w:mirrorIndents/>
        <w:jc w:val="both"/>
        <w:rPr>
          <w:rFonts w:ascii="Arial" w:eastAsia="Calibri" w:hAnsi="Arial" w:cs="Arial"/>
          <w:sz w:val="24"/>
          <w:szCs w:val="24"/>
        </w:rPr>
      </w:pPr>
      <w:r w:rsidRPr="00112AC7">
        <w:rPr>
          <w:rFonts w:ascii="Arial" w:eastAsia="Calibri" w:hAnsi="Arial" w:cs="Arial"/>
          <w:sz w:val="24"/>
          <w:szCs w:val="24"/>
        </w:rPr>
        <w:t xml:space="preserve">This report should contain a full summary of the work carried out on the Licence, including descriptions of any newly acquired seismic and reprocessed data, any studies and the results from these and an account of the </w:t>
      </w:r>
      <w:proofErr w:type="spellStart"/>
      <w:r w:rsidRPr="00112AC7">
        <w:rPr>
          <w:rFonts w:ascii="Arial" w:eastAsia="Calibri" w:hAnsi="Arial" w:cs="Arial"/>
          <w:sz w:val="24"/>
          <w:szCs w:val="24"/>
        </w:rPr>
        <w:t>prospectivity</w:t>
      </w:r>
      <w:proofErr w:type="spellEnd"/>
      <w:r w:rsidRPr="00112AC7">
        <w:rPr>
          <w:rFonts w:ascii="Arial" w:eastAsia="Calibri" w:hAnsi="Arial" w:cs="Arial"/>
          <w:sz w:val="24"/>
          <w:szCs w:val="24"/>
        </w:rPr>
        <w:t xml:space="preserve"> for the relinquished area.  Copies of reprocessed seismic data should be made available to </w:t>
      </w:r>
      <w:hyperlink r:id="rId6">
        <w:r w:rsidRPr="00112AC7">
          <w:rPr>
            <w:rFonts w:ascii="Arial" w:eastAsia="Calibri" w:hAnsi="Arial" w:cs="Arial"/>
            <w:color w:val="0000FF"/>
            <w:sz w:val="24"/>
            <w:szCs w:val="24"/>
            <w:u w:val="single"/>
          </w:rPr>
          <w:t>UKOGL</w:t>
        </w:r>
      </w:hyperlink>
      <w:r w:rsidRPr="00112AC7">
        <w:rPr>
          <w:rFonts w:ascii="Arial" w:eastAsia="Calibri" w:hAnsi="Arial" w:cs="Arial"/>
          <w:sz w:val="24"/>
          <w:szCs w:val="24"/>
        </w:rPr>
        <w:t>.</w:t>
      </w:r>
    </w:p>
    <w:p w14:paraId="6CB0284E" w14:textId="77777777" w:rsidR="00112AC7" w:rsidRPr="00112AC7" w:rsidRDefault="00112AC7" w:rsidP="00112AC7">
      <w:pPr>
        <w:spacing w:after="200" w:line="360" w:lineRule="auto"/>
        <w:mirrorIndents/>
        <w:jc w:val="both"/>
        <w:rPr>
          <w:rFonts w:ascii="Arial" w:eastAsia="Calibri" w:hAnsi="Arial" w:cs="Arial"/>
          <w:sz w:val="24"/>
          <w:szCs w:val="24"/>
        </w:rPr>
      </w:pPr>
      <w:r w:rsidRPr="00112AC7">
        <w:rPr>
          <w:rFonts w:ascii="Arial" w:eastAsia="Calibri" w:hAnsi="Arial" w:cs="Arial"/>
          <w:sz w:val="24"/>
          <w:szCs w:val="24"/>
        </w:rPr>
        <w:t>If production has ceased on a field, the operator should document, within the relinquishment report, the basis of their decision to cease production and provide an estimate of the remaining recoverable resources.</w:t>
      </w:r>
    </w:p>
    <w:p w14:paraId="3D071D0A" w14:textId="77777777" w:rsidR="00112AC7" w:rsidRPr="00112AC7" w:rsidRDefault="00112AC7" w:rsidP="00112AC7">
      <w:pPr>
        <w:keepNext/>
        <w:keepLines/>
        <w:spacing w:before="200" w:after="0" w:line="360" w:lineRule="auto"/>
        <w:mirrorIndents/>
        <w:jc w:val="both"/>
        <w:outlineLvl w:val="1"/>
        <w:rPr>
          <w:rFonts w:ascii="Cambria" w:eastAsia="Times New Roman" w:hAnsi="Cambria" w:cs="Times New Roman"/>
          <w:b/>
          <w:bCs/>
          <w:color w:val="000000"/>
          <w:sz w:val="28"/>
          <w:szCs w:val="26"/>
        </w:rPr>
      </w:pPr>
      <w:bookmarkStart w:id="2" w:name="_Toc498090853"/>
      <w:bookmarkStart w:id="3" w:name="_Toc499638192"/>
      <w:r w:rsidRPr="00112AC7">
        <w:rPr>
          <w:rFonts w:ascii="Cambria" w:eastAsia="Times New Roman" w:hAnsi="Cambria" w:cs="Times New Roman"/>
          <w:b/>
          <w:bCs/>
          <w:color w:val="000000"/>
          <w:sz w:val="28"/>
          <w:szCs w:val="26"/>
        </w:rPr>
        <w:t>17.1 Relinquishment Report Guidelines</w:t>
      </w:r>
      <w:bookmarkEnd w:id="2"/>
      <w:bookmarkEnd w:id="3"/>
    </w:p>
    <w:p w14:paraId="54F1E744" w14:textId="77777777" w:rsidR="00112AC7" w:rsidRPr="006D2750" w:rsidRDefault="00112AC7" w:rsidP="00112AC7">
      <w:pPr>
        <w:spacing w:after="200" w:line="360" w:lineRule="auto"/>
        <w:mirrorIndents/>
        <w:jc w:val="both"/>
        <w:rPr>
          <w:rFonts w:ascii="Arial" w:eastAsia="Calibri" w:hAnsi="Arial" w:cs="Arial"/>
          <w:sz w:val="24"/>
          <w:szCs w:val="24"/>
        </w:rPr>
      </w:pPr>
      <w:r w:rsidRPr="006D2750">
        <w:rPr>
          <w:rFonts w:ascii="Arial" w:eastAsia="Calibri" w:hAnsi="Arial" w:cs="Arial"/>
          <w:sz w:val="24"/>
          <w:szCs w:val="24"/>
        </w:rPr>
        <w:t>The relinquishment report should include the following information:</w:t>
      </w:r>
    </w:p>
    <w:p w14:paraId="5F42055A" w14:textId="77777777" w:rsidR="00112AC7" w:rsidRPr="006D2750" w:rsidRDefault="00112AC7" w:rsidP="00112AC7">
      <w:pPr>
        <w:numPr>
          <w:ilvl w:val="0"/>
          <w:numId w:val="3"/>
        </w:numPr>
        <w:spacing w:after="200" w:line="360" w:lineRule="auto"/>
        <w:mirrorIndents/>
        <w:jc w:val="both"/>
        <w:rPr>
          <w:rFonts w:ascii="Arial" w:eastAsia="Calibri" w:hAnsi="Arial" w:cs="Arial"/>
          <w:b/>
          <w:sz w:val="24"/>
          <w:szCs w:val="24"/>
        </w:rPr>
      </w:pPr>
      <w:r w:rsidRPr="006D2750">
        <w:rPr>
          <w:rFonts w:ascii="Arial" w:eastAsia="Calibri" w:hAnsi="Arial" w:cs="Arial"/>
          <w:b/>
          <w:sz w:val="24"/>
          <w:szCs w:val="24"/>
        </w:rPr>
        <w:t>Licence Information</w:t>
      </w:r>
    </w:p>
    <w:p w14:paraId="02D42BE2" w14:textId="77777777" w:rsidR="00112AC7" w:rsidRPr="006D2750" w:rsidRDefault="00112AC7" w:rsidP="00112AC7">
      <w:pPr>
        <w:numPr>
          <w:ilvl w:val="0"/>
          <w:numId w:val="1"/>
        </w:numPr>
        <w:spacing w:after="200" w:line="360" w:lineRule="auto"/>
        <w:mirrorIndents/>
        <w:jc w:val="both"/>
        <w:rPr>
          <w:rFonts w:ascii="Arial" w:eastAsia="Times New Roman" w:hAnsi="Arial" w:cs="Arial"/>
          <w:spacing w:val="15"/>
          <w:sz w:val="24"/>
          <w:szCs w:val="24"/>
        </w:rPr>
      </w:pPr>
      <w:r w:rsidRPr="006D2750">
        <w:rPr>
          <w:rFonts w:ascii="Arial" w:eastAsia="Times New Roman" w:hAnsi="Arial" w:cs="Arial"/>
          <w:spacing w:val="15"/>
          <w:sz w:val="24"/>
          <w:szCs w:val="24"/>
        </w:rPr>
        <w:t>Licence Number</w:t>
      </w:r>
    </w:p>
    <w:p w14:paraId="20A43CF1" w14:textId="77777777" w:rsidR="00112AC7" w:rsidRPr="006D2750" w:rsidRDefault="00112AC7" w:rsidP="00112AC7">
      <w:pPr>
        <w:numPr>
          <w:ilvl w:val="0"/>
          <w:numId w:val="1"/>
        </w:numPr>
        <w:spacing w:after="200" w:line="360" w:lineRule="auto"/>
        <w:mirrorIndents/>
        <w:jc w:val="both"/>
        <w:rPr>
          <w:rFonts w:ascii="Arial" w:eastAsia="Times New Roman" w:hAnsi="Arial" w:cs="Arial"/>
          <w:spacing w:val="15"/>
          <w:sz w:val="24"/>
          <w:szCs w:val="24"/>
        </w:rPr>
      </w:pPr>
      <w:r w:rsidRPr="006D2750">
        <w:rPr>
          <w:rFonts w:ascii="Arial" w:eastAsia="Times New Roman" w:hAnsi="Arial" w:cs="Arial"/>
          <w:spacing w:val="15"/>
          <w:sz w:val="24"/>
          <w:szCs w:val="24"/>
        </w:rPr>
        <w:t>Licence Round</w:t>
      </w:r>
    </w:p>
    <w:p w14:paraId="57C2BA1A" w14:textId="77777777" w:rsidR="00112AC7" w:rsidRPr="006D2750" w:rsidRDefault="00112AC7" w:rsidP="00112AC7">
      <w:pPr>
        <w:numPr>
          <w:ilvl w:val="0"/>
          <w:numId w:val="1"/>
        </w:numPr>
        <w:spacing w:after="200" w:line="360" w:lineRule="auto"/>
        <w:mirrorIndents/>
        <w:jc w:val="both"/>
        <w:rPr>
          <w:rFonts w:ascii="Arial" w:eastAsia="Times New Roman" w:hAnsi="Arial" w:cs="Arial"/>
          <w:spacing w:val="15"/>
          <w:sz w:val="24"/>
          <w:szCs w:val="24"/>
        </w:rPr>
      </w:pPr>
      <w:r w:rsidRPr="006D2750">
        <w:rPr>
          <w:rFonts w:ascii="Arial" w:eastAsia="Times New Roman" w:hAnsi="Arial" w:cs="Arial"/>
          <w:spacing w:val="15"/>
          <w:sz w:val="24"/>
          <w:szCs w:val="24"/>
        </w:rPr>
        <w:t>Block Number(s)</w:t>
      </w:r>
    </w:p>
    <w:p w14:paraId="646A4C0A" w14:textId="77777777" w:rsidR="00112AC7" w:rsidRPr="006D2750" w:rsidRDefault="00112AC7" w:rsidP="00112AC7">
      <w:pPr>
        <w:spacing w:after="200" w:line="360" w:lineRule="auto"/>
        <w:mirrorIndents/>
        <w:jc w:val="both"/>
        <w:rPr>
          <w:rFonts w:ascii="Arial" w:eastAsia="Calibri" w:hAnsi="Arial" w:cs="Arial"/>
          <w:sz w:val="24"/>
          <w:szCs w:val="24"/>
        </w:rPr>
      </w:pPr>
      <w:r w:rsidRPr="006D2750">
        <w:rPr>
          <w:rFonts w:ascii="Arial" w:eastAsia="Calibri" w:hAnsi="Arial" w:cs="Arial"/>
          <w:sz w:val="24"/>
          <w:szCs w:val="24"/>
        </w:rPr>
        <w:t>Also provide, in this section, a statement to say that all permissions to publish have been obtained.</w:t>
      </w:r>
    </w:p>
    <w:p w14:paraId="5CF3F83E" w14:textId="77777777" w:rsidR="00112AC7" w:rsidRPr="006D2750" w:rsidRDefault="00112AC7" w:rsidP="00112AC7">
      <w:pPr>
        <w:numPr>
          <w:ilvl w:val="0"/>
          <w:numId w:val="3"/>
        </w:numPr>
        <w:spacing w:after="200" w:line="360" w:lineRule="auto"/>
        <w:mirrorIndents/>
        <w:jc w:val="both"/>
        <w:rPr>
          <w:rFonts w:ascii="Arial" w:eastAsia="Calibri" w:hAnsi="Arial" w:cs="Arial"/>
          <w:b/>
          <w:sz w:val="24"/>
          <w:szCs w:val="24"/>
        </w:rPr>
      </w:pPr>
      <w:r w:rsidRPr="006D2750">
        <w:rPr>
          <w:rFonts w:ascii="Arial" w:eastAsia="Calibri" w:hAnsi="Arial" w:cs="Arial"/>
          <w:b/>
          <w:sz w:val="24"/>
          <w:szCs w:val="24"/>
        </w:rPr>
        <w:t>Licence Synopsis</w:t>
      </w:r>
      <w:bookmarkStart w:id="4" w:name="_GoBack"/>
      <w:bookmarkEnd w:id="4"/>
    </w:p>
    <w:p w14:paraId="16874FD9" w14:textId="77777777" w:rsidR="00112AC7" w:rsidRPr="006D2750" w:rsidRDefault="00112AC7" w:rsidP="00112AC7">
      <w:pPr>
        <w:numPr>
          <w:ilvl w:val="0"/>
          <w:numId w:val="2"/>
        </w:numPr>
        <w:spacing w:after="200" w:line="360" w:lineRule="auto"/>
        <w:mirrorIndents/>
        <w:jc w:val="both"/>
        <w:rPr>
          <w:rFonts w:ascii="Arial" w:eastAsia="Times New Roman" w:hAnsi="Arial" w:cs="Arial"/>
          <w:spacing w:val="15"/>
          <w:sz w:val="24"/>
          <w:szCs w:val="24"/>
        </w:rPr>
      </w:pPr>
      <w:r w:rsidRPr="006D2750">
        <w:rPr>
          <w:rFonts w:ascii="Arial" w:eastAsia="Times New Roman" w:hAnsi="Arial" w:cs="Arial"/>
          <w:spacing w:val="15"/>
          <w:sz w:val="24"/>
          <w:szCs w:val="24"/>
        </w:rPr>
        <w:t>Licence Status (e.g. end of Initial Term, other reasons for relinquishment)</w:t>
      </w:r>
    </w:p>
    <w:p w14:paraId="600EEBD5" w14:textId="77777777" w:rsidR="00112AC7" w:rsidRPr="00112AC7" w:rsidRDefault="00112AC7" w:rsidP="00112AC7">
      <w:pPr>
        <w:spacing w:after="200" w:line="360" w:lineRule="auto"/>
        <w:mirrorIndents/>
        <w:jc w:val="both"/>
        <w:rPr>
          <w:rFonts w:ascii="Arial" w:eastAsia="Calibri" w:hAnsi="Arial" w:cs="Arial"/>
          <w:sz w:val="24"/>
          <w:szCs w:val="24"/>
        </w:rPr>
      </w:pPr>
      <w:r w:rsidRPr="00112AC7">
        <w:rPr>
          <w:rFonts w:ascii="Arial" w:eastAsia="Calibri" w:hAnsi="Arial" w:cs="Arial"/>
          <w:sz w:val="24"/>
          <w:szCs w:val="24"/>
        </w:rPr>
        <w:t>Include a summary of the award and participants, the work obligations (depending on the Term of the Licence) and any licence extensions agreed.</w:t>
      </w:r>
    </w:p>
    <w:p w14:paraId="377A2677" w14:textId="77777777" w:rsidR="00112AC7" w:rsidRPr="00112AC7" w:rsidRDefault="00112AC7" w:rsidP="00112AC7">
      <w:pPr>
        <w:spacing w:after="200" w:line="360" w:lineRule="auto"/>
        <w:mirrorIndents/>
        <w:jc w:val="both"/>
        <w:rPr>
          <w:rFonts w:ascii="Arial" w:eastAsia="Calibri" w:hAnsi="Arial" w:cs="Arial"/>
          <w:sz w:val="24"/>
          <w:szCs w:val="24"/>
        </w:rPr>
      </w:pPr>
      <w:r w:rsidRPr="00112AC7">
        <w:rPr>
          <w:rFonts w:ascii="Arial" w:eastAsia="Calibri" w:hAnsi="Arial" w:cs="Arial"/>
          <w:sz w:val="24"/>
          <w:szCs w:val="24"/>
        </w:rPr>
        <w:lastRenderedPageBreak/>
        <w:t xml:space="preserve">Outline the </w:t>
      </w:r>
      <w:proofErr w:type="spellStart"/>
      <w:r w:rsidRPr="00112AC7">
        <w:rPr>
          <w:rFonts w:ascii="Arial" w:eastAsia="Calibri" w:hAnsi="Arial" w:cs="Arial"/>
          <w:sz w:val="24"/>
          <w:szCs w:val="24"/>
        </w:rPr>
        <w:t>prospectivity</w:t>
      </w:r>
      <w:proofErr w:type="spellEnd"/>
      <w:r w:rsidRPr="00112AC7">
        <w:rPr>
          <w:rFonts w:ascii="Arial" w:eastAsia="Calibri" w:hAnsi="Arial" w:cs="Arial"/>
          <w:sz w:val="24"/>
          <w:szCs w:val="24"/>
        </w:rPr>
        <w:t xml:space="preserve"> identified at the time of application and whether any undeveloped discoveries were analysed.</w:t>
      </w:r>
    </w:p>
    <w:p w14:paraId="64228622" w14:textId="77777777" w:rsidR="00112AC7" w:rsidRPr="00112AC7" w:rsidRDefault="00112AC7" w:rsidP="00112AC7">
      <w:pPr>
        <w:spacing w:after="200" w:line="360" w:lineRule="auto"/>
        <w:mirrorIndents/>
        <w:jc w:val="both"/>
        <w:rPr>
          <w:rFonts w:ascii="Arial" w:eastAsia="Calibri" w:hAnsi="Arial" w:cs="Arial"/>
          <w:sz w:val="24"/>
          <w:szCs w:val="24"/>
        </w:rPr>
      </w:pPr>
      <w:r w:rsidRPr="00112AC7">
        <w:rPr>
          <w:rFonts w:ascii="Arial" w:eastAsia="Calibri" w:hAnsi="Arial" w:cs="Arial"/>
          <w:sz w:val="24"/>
          <w:szCs w:val="24"/>
        </w:rPr>
        <w:t>If Production ceased under the licence, detail Cessation of Production information is required (see Cessation of Production (</w:t>
      </w:r>
      <w:r w:rsidRPr="00112AC7">
        <w:rPr>
          <w:rFonts w:ascii="Arial" w:eastAsia="Calibri" w:hAnsi="Arial" w:cs="Arial"/>
          <w:color w:val="0000FF"/>
          <w:sz w:val="24"/>
          <w:szCs w:val="24"/>
          <w:u w:val="single"/>
        </w:rPr>
        <w:t>COP</w:t>
      </w:r>
      <w:r w:rsidRPr="00112AC7">
        <w:rPr>
          <w:rFonts w:ascii="Arial" w:eastAsia="Calibri" w:hAnsi="Arial" w:cs="Arial"/>
          <w:sz w:val="24"/>
          <w:szCs w:val="24"/>
        </w:rPr>
        <w:t>) guidance with Field Development Plan).</w:t>
      </w:r>
      <w:hyperlink w:anchor="_Cessation_of_Production" w:history="1"/>
    </w:p>
    <w:p w14:paraId="1B80BD91" w14:textId="77777777" w:rsidR="00112AC7" w:rsidRPr="00112AC7" w:rsidRDefault="00112AC7" w:rsidP="00112AC7">
      <w:pPr>
        <w:spacing w:after="200" w:line="276" w:lineRule="auto"/>
        <w:mirrorIndents/>
        <w:jc w:val="both"/>
        <w:rPr>
          <w:rFonts w:ascii="Arial" w:eastAsia="Calibri" w:hAnsi="Arial" w:cs="Arial"/>
          <w:sz w:val="24"/>
          <w:szCs w:val="24"/>
        </w:rPr>
      </w:pPr>
    </w:p>
    <w:p w14:paraId="34F516C7" w14:textId="77777777" w:rsidR="00112AC7" w:rsidRPr="00112AC7" w:rsidRDefault="00112AC7" w:rsidP="00112AC7">
      <w:pPr>
        <w:numPr>
          <w:ilvl w:val="0"/>
          <w:numId w:val="3"/>
        </w:numPr>
        <w:spacing w:after="200" w:line="360" w:lineRule="auto"/>
        <w:mirrorIndents/>
        <w:jc w:val="both"/>
        <w:rPr>
          <w:rFonts w:ascii="Arial" w:eastAsia="Calibri" w:hAnsi="Arial" w:cs="Arial"/>
          <w:b/>
          <w:sz w:val="24"/>
          <w:szCs w:val="24"/>
        </w:rPr>
      </w:pPr>
      <w:r w:rsidRPr="00112AC7">
        <w:rPr>
          <w:rFonts w:ascii="Arial" w:eastAsia="Calibri" w:hAnsi="Arial" w:cs="Arial"/>
          <w:b/>
          <w:sz w:val="24"/>
          <w:szCs w:val="24"/>
        </w:rPr>
        <w:t>Work Programme Summary</w:t>
      </w:r>
    </w:p>
    <w:p w14:paraId="3977A57D" w14:textId="77777777" w:rsidR="00112AC7" w:rsidRPr="00112AC7" w:rsidRDefault="00112AC7" w:rsidP="00112AC7">
      <w:pPr>
        <w:spacing w:after="200" w:line="360" w:lineRule="auto"/>
        <w:mirrorIndents/>
        <w:jc w:val="both"/>
        <w:rPr>
          <w:rFonts w:ascii="Arial" w:eastAsia="Calibri" w:hAnsi="Arial" w:cs="Arial"/>
          <w:sz w:val="24"/>
          <w:szCs w:val="24"/>
        </w:rPr>
      </w:pPr>
      <w:r w:rsidRPr="00112AC7">
        <w:rPr>
          <w:rFonts w:ascii="Arial" w:eastAsia="Calibri" w:hAnsi="Arial" w:cs="Arial"/>
          <w:sz w:val="24"/>
          <w:szCs w:val="24"/>
        </w:rPr>
        <w:t>If the Licence was in the Initial Term, specify the exact Work Programme agreed for the Licence, and what was undertaken.</w:t>
      </w:r>
    </w:p>
    <w:p w14:paraId="3E14740B" w14:textId="77777777" w:rsidR="00112AC7" w:rsidRPr="00112AC7" w:rsidRDefault="00112AC7" w:rsidP="00112AC7">
      <w:pPr>
        <w:spacing w:after="200" w:line="360" w:lineRule="auto"/>
        <w:mirrorIndents/>
        <w:jc w:val="both"/>
        <w:rPr>
          <w:rFonts w:ascii="Arial" w:eastAsia="Calibri" w:hAnsi="Arial" w:cs="Arial"/>
          <w:sz w:val="24"/>
          <w:szCs w:val="24"/>
        </w:rPr>
      </w:pPr>
      <w:r w:rsidRPr="00112AC7">
        <w:rPr>
          <w:rFonts w:ascii="Arial" w:eastAsia="Calibri" w:hAnsi="Arial" w:cs="Arial"/>
          <w:sz w:val="24"/>
          <w:szCs w:val="24"/>
        </w:rPr>
        <w:t>If the Work Programme included reprocessing of seismic data, give clear seismic examples of pre- and post- processing as figures, and describe where there were any noticeable uplifts in the seismic data. Similarly, for new seismic data acquired and interpreted, give clear seismic comparison examples of older and newly acquired seismic data as figures. Specify whether the data was of sufficient quality to address the geology of the block(s). Where there were new wells drilled on the licence, give brief details of the results.</w:t>
      </w:r>
    </w:p>
    <w:p w14:paraId="31B49659" w14:textId="77777777" w:rsidR="00112AC7" w:rsidRPr="00112AC7" w:rsidRDefault="00112AC7" w:rsidP="00112AC7">
      <w:pPr>
        <w:numPr>
          <w:ilvl w:val="0"/>
          <w:numId w:val="3"/>
        </w:numPr>
        <w:spacing w:after="200" w:line="360" w:lineRule="auto"/>
        <w:mirrorIndents/>
        <w:jc w:val="both"/>
        <w:rPr>
          <w:rFonts w:ascii="Arial" w:eastAsia="Calibri" w:hAnsi="Arial" w:cs="Arial"/>
          <w:b/>
          <w:sz w:val="24"/>
          <w:szCs w:val="24"/>
        </w:rPr>
      </w:pPr>
      <w:r w:rsidRPr="00112AC7">
        <w:rPr>
          <w:rFonts w:ascii="Arial" w:eastAsia="Calibri" w:hAnsi="Arial" w:cs="Arial"/>
          <w:b/>
          <w:sz w:val="24"/>
          <w:szCs w:val="24"/>
        </w:rPr>
        <w:t>Database</w:t>
      </w:r>
    </w:p>
    <w:p w14:paraId="77F8B1B1" w14:textId="77777777" w:rsidR="00112AC7" w:rsidRPr="00112AC7" w:rsidRDefault="00112AC7" w:rsidP="00112AC7">
      <w:pPr>
        <w:spacing w:after="200" w:line="360" w:lineRule="auto"/>
        <w:mirrorIndents/>
        <w:jc w:val="both"/>
        <w:rPr>
          <w:rFonts w:ascii="Arial" w:eastAsia="Calibri" w:hAnsi="Arial" w:cs="Arial"/>
          <w:sz w:val="24"/>
          <w:szCs w:val="24"/>
        </w:rPr>
      </w:pPr>
      <w:r w:rsidRPr="00112AC7">
        <w:rPr>
          <w:rFonts w:ascii="Arial" w:eastAsia="Calibri" w:hAnsi="Arial" w:cs="Arial"/>
          <w:sz w:val="24"/>
          <w:szCs w:val="24"/>
        </w:rPr>
        <w:t xml:space="preserve">The report should include a map of the seismic and well database utilised in the evaluation of </w:t>
      </w:r>
      <w:proofErr w:type="spellStart"/>
      <w:r w:rsidRPr="00112AC7">
        <w:rPr>
          <w:rFonts w:ascii="Arial" w:eastAsia="Calibri" w:hAnsi="Arial" w:cs="Arial"/>
          <w:sz w:val="24"/>
          <w:szCs w:val="24"/>
        </w:rPr>
        <w:t>prospectivity</w:t>
      </w:r>
      <w:proofErr w:type="spellEnd"/>
      <w:r w:rsidRPr="00112AC7">
        <w:rPr>
          <w:rFonts w:ascii="Arial" w:eastAsia="Calibri" w:hAnsi="Arial" w:cs="Arial"/>
          <w:sz w:val="24"/>
          <w:szCs w:val="24"/>
        </w:rPr>
        <w:t xml:space="preserve"> and/or discoveries.</w:t>
      </w:r>
    </w:p>
    <w:p w14:paraId="1AC5B995" w14:textId="77777777" w:rsidR="00112AC7" w:rsidRPr="00112AC7" w:rsidRDefault="00112AC7" w:rsidP="00112AC7">
      <w:pPr>
        <w:numPr>
          <w:ilvl w:val="0"/>
          <w:numId w:val="3"/>
        </w:numPr>
        <w:spacing w:after="200" w:line="360" w:lineRule="auto"/>
        <w:mirrorIndents/>
        <w:jc w:val="both"/>
        <w:rPr>
          <w:rFonts w:ascii="Arial" w:eastAsia="Calibri" w:hAnsi="Arial" w:cs="Arial"/>
          <w:b/>
          <w:sz w:val="24"/>
          <w:szCs w:val="24"/>
        </w:rPr>
      </w:pPr>
      <w:proofErr w:type="spellStart"/>
      <w:r w:rsidRPr="00112AC7">
        <w:rPr>
          <w:rFonts w:ascii="Arial" w:eastAsia="Calibri" w:hAnsi="Arial" w:cs="Arial"/>
          <w:b/>
          <w:sz w:val="24"/>
          <w:szCs w:val="24"/>
        </w:rPr>
        <w:t>Prospectivity</w:t>
      </w:r>
      <w:proofErr w:type="spellEnd"/>
      <w:r w:rsidRPr="00112AC7">
        <w:rPr>
          <w:rFonts w:ascii="Arial" w:eastAsia="Calibri" w:hAnsi="Arial" w:cs="Arial"/>
          <w:b/>
          <w:sz w:val="24"/>
          <w:szCs w:val="24"/>
        </w:rPr>
        <w:t xml:space="preserve"> Update</w:t>
      </w:r>
    </w:p>
    <w:p w14:paraId="2E6D3A5C" w14:textId="77777777" w:rsidR="00112AC7" w:rsidRPr="00112AC7" w:rsidRDefault="00112AC7" w:rsidP="00112AC7">
      <w:pPr>
        <w:spacing w:after="200" w:line="360" w:lineRule="auto"/>
        <w:mirrorIndents/>
        <w:jc w:val="both"/>
        <w:rPr>
          <w:rFonts w:ascii="Arial" w:eastAsia="Calibri" w:hAnsi="Arial" w:cs="Arial"/>
          <w:sz w:val="24"/>
          <w:szCs w:val="24"/>
        </w:rPr>
      </w:pPr>
      <w:r w:rsidRPr="00112AC7">
        <w:rPr>
          <w:rFonts w:ascii="Arial" w:eastAsia="Calibri" w:hAnsi="Arial" w:cs="Arial"/>
          <w:sz w:val="24"/>
          <w:szCs w:val="24"/>
        </w:rPr>
        <w:t xml:space="preserve">Provide a brief review of </w:t>
      </w:r>
      <w:proofErr w:type="spellStart"/>
      <w:r w:rsidRPr="00112AC7">
        <w:rPr>
          <w:rFonts w:ascii="Arial" w:eastAsia="Calibri" w:hAnsi="Arial" w:cs="Arial"/>
          <w:sz w:val="24"/>
          <w:szCs w:val="24"/>
        </w:rPr>
        <w:t>prospectivity</w:t>
      </w:r>
      <w:proofErr w:type="spellEnd"/>
      <w:r w:rsidRPr="00112AC7">
        <w:rPr>
          <w:rFonts w:ascii="Arial" w:eastAsia="Calibri" w:hAnsi="Arial" w:cs="Arial"/>
          <w:sz w:val="24"/>
          <w:szCs w:val="24"/>
        </w:rPr>
        <w:t xml:space="preserve"> presented in the original licence application and a more detailed review of </w:t>
      </w:r>
      <w:proofErr w:type="spellStart"/>
      <w:r w:rsidRPr="00112AC7">
        <w:rPr>
          <w:rFonts w:ascii="Arial" w:eastAsia="Calibri" w:hAnsi="Arial" w:cs="Arial"/>
          <w:sz w:val="24"/>
          <w:szCs w:val="24"/>
        </w:rPr>
        <w:t>prospectivity</w:t>
      </w:r>
      <w:proofErr w:type="spellEnd"/>
      <w:r w:rsidRPr="00112AC7">
        <w:rPr>
          <w:rFonts w:ascii="Arial" w:eastAsia="Calibri" w:hAnsi="Arial" w:cs="Arial"/>
          <w:sz w:val="24"/>
          <w:szCs w:val="24"/>
        </w:rPr>
        <w:t xml:space="preserve"> following any reprocessing/new seismic data/etc. This should include structure maps and examples of the seismic interpretation. If any drilling has taken place, show examples of the revised or new interpretation/mapping incorporating the well results.</w:t>
      </w:r>
    </w:p>
    <w:p w14:paraId="2F649BDD" w14:textId="77777777" w:rsidR="00112AC7" w:rsidRPr="00112AC7" w:rsidRDefault="00112AC7" w:rsidP="00112AC7">
      <w:pPr>
        <w:numPr>
          <w:ilvl w:val="0"/>
          <w:numId w:val="3"/>
        </w:numPr>
        <w:spacing w:after="200" w:line="360" w:lineRule="auto"/>
        <w:mirrorIndents/>
        <w:jc w:val="both"/>
        <w:rPr>
          <w:rFonts w:ascii="Arial" w:eastAsia="Calibri" w:hAnsi="Arial" w:cs="Arial"/>
          <w:b/>
          <w:sz w:val="24"/>
          <w:szCs w:val="24"/>
        </w:rPr>
      </w:pPr>
      <w:r w:rsidRPr="00112AC7">
        <w:rPr>
          <w:rFonts w:ascii="Arial" w:eastAsia="Calibri" w:hAnsi="Arial" w:cs="Arial"/>
          <w:b/>
          <w:sz w:val="24"/>
          <w:szCs w:val="24"/>
        </w:rPr>
        <w:t>Further Technical Work Undertaken</w:t>
      </w:r>
    </w:p>
    <w:p w14:paraId="41BC28DA" w14:textId="77777777" w:rsidR="00112AC7" w:rsidRPr="00112AC7" w:rsidRDefault="00112AC7" w:rsidP="00112AC7">
      <w:pPr>
        <w:spacing w:after="200" w:line="360" w:lineRule="auto"/>
        <w:mirrorIndents/>
        <w:jc w:val="both"/>
        <w:rPr>
          <w:rFonts w:ascii="Arial" w:eastAsia="Calibri" w:hAnsi="Arial" w:cs="Arial"/>
          <w:sz w:val="24"/>
          <w:szCs w:val="24"/>
        </w:rPr>
      </w:pPr>
      <w:r w:rsidRPr="00112AC7">
        <w:rPr>
          <w:rFonts w:ascii="Arial" w:eastAsia="Calibri" w:hAnsi="Arial" w:cs="Arial"/>
          <w:sz w:val="24"/>
          <w:szCs w:val="24"/>
        </w:rPr>
        <w:t xml:space="preserve">Give a summary of any further detailed technical analysis or studies undertaken to </w:t>
      </w:r>
      <w:proofErr w:type="spellStart"/>
      <w:r w:rsidRPr="00112AC7">
        <w:rPr>
          <w:rFonts w:ascii="Arial" w:eastAsia="Calibri" w:hAnsi="Arial" w:cs="Arial"/>
          <w:sz w:val="24"/>
          <w:szCs w:val="24"/>
        </w:rPr>
        <w:t>derisk</w:t>
      </w:r>
      <w:proofErr w:type="spellEnd"/>
      <w:r w:rsidRPr="00112AC7">
        <w:rPr>
          <w:rFonts w:ascii="Arial" w:eastAsia="Calibri" w:hAnsi="Arial" w:cs="Arial"/>
          <w:sz w:val="24"/>
          <w:szCs w:val="24"/>
        </w:rPr>
        <w:t xml:space="preserve"> the </w:t>
      </w:r>
      <w:proofErr w:type="spellStart"/>
      <w:r w:rsidRPr="00112AC7">
        <w:rPr>
          <w:rFonts w:ascii="Arial" w:eastAsia="Calibri" w:hAnsi="Arial" w:cs="Arial"/>
          <w:sz w:val="24"/>
          <w:szCs w:val="24"/>
        </w:rPr>
        <w:t>prospectivity</w:t>
      </w:r>
      <w:proofErr w:type="spellEnd"/>
      <w:r w:rsidRPr="00112AC7">
        <w:rPr>
          <w:rFonts w:ascii="Arial" w:eastAsia="Calibri" w:hAnsi="Arial" w:cs="Arial"/>
          <w:sz w:val="24"/>
          <w:szCs w:val="24"/>
        </w:rPr>
        <w:t xml:space="preserve"> on the licence. This may include, for example, inversion, rock physics, AVO, spectral decomposition, more detailed well analysis, etc.</w:t>
      </w:r>
    </w:p>
    <w:p w14:paraId="6A781C8B" w14:textId="77777777" w:rsidR="00112AC7" w:rsidRPr="00112AC7" w:rsidRDefault="00112AC7" w:rsidP="00112AC7">
      <w:pPr>
        <w:numPr>
          <w:ilvl w:val="0"/>
          <w:numId w:val="3"/>
        </w:numPr>
        <w:spacing w:after="200" w:line="360" w:lineRule="auto"/>
        <w:mirrorIndents/>
        <w:jc w:val="both"/>
        <w:rPr>
          <w:rFonts w:ascii="Arial" w:eastAsia="Calibri" w:hAnsi="Arial" w:cs="Arial"/>
          <w:b/>
          <w:sz w:val="24"/>
          <w:szCs w:val="24"/>
        </w:rPr>
      </w:pPr>
      <w:r w:rsidRPr="00112AC7">
        <w:rPr>
          <w:rFonts w:ascii="Arial" w:eastAsia="Calibri" w:hAnsi="Arial" w:cs="Arial"/>
          <w:b/>
          <w:sz w:val="24"/>
          <w:szCs w:val="24"/>
        </w:rPr>
        <w:lastRenderedPageBreak/>
        <w:t>Resource and Risk Summary</w:t>
      </w:r>
    </w:p>
    <w:p w14:paraId="1CEBE92C" w14:textId="77777777" w:rsidR="00112AC7" w:rsidRPr="00112AC7" w:rsidRDefault="00112AC7" w:rsidP="00112AC7">
      <w:pPr>
        <w:spacing w:after="200" w:line="360" w:lineRule="auto"/>
        <w:mirrorIndents/>
        <w:jc w:val="both"/>
        <w:rPr>
          <w:rFonts w:ascii="Arial" w:eastAsia="Calibri" w:hAnsi="Arial" w:cs="Arial"/>
          <w:sz w:val="24"/>
          <w:szCs w:val="24"/>
        </w:rPr>
      </w:pPr>
      <w:r w:rsidRPr="00112AC7">
        <w:rPr>
          <w:rFonts w:ascii="Arial" w:eastAsia="Calibri" w:hAnsi="Arial" w:cs="Arial"/>
          <w:sz w:val="24"/>
          <w:szCs w:val="24"/>
        </w:rPr>
        <w:t>Include a summary table of recoverable resources associated with the remaining undrilled prospects and leads. An example is shown below:</w:t>
      </w:r>
    </w:p>
    <w:p w14:paraId="215D0D4F" w14:textId="77777777" w:rsidR="00112AC7" w:rsidRPr="00112AC7" w:rsidRDefault="00112AC7" w:rsidP="00112AC7">
      <w:pPr>
        <w:spacing w:after="200" w:line="276" w:lineRule="auto"/>
        <w:mirrorIndents/>
        <w:jc w:val="both"/>
        <w:rPr>
          <w:rFonts w:ascii="Arial" w:eastAsia="Calibri" w:hAnsi="Arial" w:cs="Arial"/>
          <w:sz w:val="24"/>
          <w:szCs w:val="24"/>
        </w:rPr>
      </w:pPr>
      <w:r w:rsidRPr="00112AC7">
        <w:rPr>
          <w:rFonts w:ascii="Arial" w:eastAsia="Calibri" w:hAnsi="Arial" w:cs="Arial"/>
          <w:sz w:val="24"/>
          <w:szCs w:val="24"/>
        </w:rPr>
        <w:t xml:space="preserve"> </w:t>
      </w:r>
      <w:r w:rsidRPr="00112AC7">
        <w:rPr>
          <w:rFonts w:ascii="Arial" w:eastAsia="Calibri" w:hAnsi="Arial" w:cs="Arial"/>
          <w:noProof/>
          <w:sz w:val="24"/>
          <w:szCs w:val="24"/>
          <w:lang w:eastAsia="en-GB"/>
        </w:rPr>
        <w:drawing>
          <wp:inline distT="0" distB="0" distL="0" distR="0" wp14:anchorId="08665CCB" wp14:editId="5A0294D0">
            <wp:extent cx="5731510" cy="1271560"/>
            <wp:effectExtent l="0" t="0" r="254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71560"/>
                    </a:xfrm>
                    <a:prstGeom prst="rect">
                      <a:avLst/>
                    </a:prstGeom>
                    <a:noFill/>
                    <a:ln>
                      <a:noFill/>
                    </a:ln>
                  </pic:spPr>
                </pic:pic>
              </a:graphicData>
            </a:graphic>
          </wp:inline>
        </w:drawing>
      </w:r>
    </w:p>
    <w:p w14:paraId="09D45EC1" w14:textId="77777777" w:rsidR="00112AC7" w:rsidRPr="00112AC7" w:rsidRDefault="00112AC7" w:rsidP="00112AC7">
      <w:pPr>
        <w:numPr>
          <w:ilvl w:val="0"/>
          <w:numId w:val="3"/>
        </w:numPr>
        <w:spacing w:after="200" w:line="360" w:lineRule="auto"/>
        <w:mirrorIndents/>
        <w:jc w:val="both"/>
        <w:rPr>
          <w:rFonts w:ascii="Arial" w:eastAsia="Calibri" w:hAnsi="Arial" w:cs="Arial"/>
          <w:b/>
          <w:sz w:val="24"/>
          <w:szCs w:val="24"/>
        </w:rPr>
      </w:pPr>
      <w:r w:rsidRPr="00112AC7">
        <w:rPr>
          <w:rFonts w:ascii="Arial" w:eastAsia="Calibri" w:hAnsi="Arial" w:cs="Arial"/>
          <w:b/>
          <w:sz w:val="24"/>
          <w:szCs w:val="24"/>
        </w:rPr>
        <w:t>Conclusions</w:t>
      </w:r>
    </w:p>
    <w:p w14:paraId="3343B76E" w14:textId="77777777" w:rsidR="00112AC7" w:rsidRPr="00112AC7" w:rsidRDefault="00112AC7" w:rsidP="00112AC7">
      <w:pPr>
        <w:spacing w:after="200" w:line="360" w:lineRule="auto"/>
        <w:mirrorIndents/>
        <w:jc w:val="both"/>
        <w:rPr>
          <w:rFonts w:ascii="Arial" w:eastAsia="Calibri" w:hAnsi="Arial" w:cs="Arial"/>
          <w:sz w:val="24"/>
          <w:szCs w:val="24"/>
        </w:rPr>
      </w:pPr>
      <w:r w:rsidRPr="00112AC7">
        <w:rPr>
          <w:rFonts w:ascii="Arial" w:eastAsia="Calibri" w:hAnsi="Arial" w:cs="Arial"/>
          <w:sz w:val="24"/>
          <w:szCs w:val="24"/>
        </w:rPr>
        <w:t xml:space="preserve">Comment on any remaining potential </w:t>
      </w:r>
      <w:proofErr w:type="spellStart"/>
      <w:r w:rsidRPr="00112AC7">
        <w:rPr>
          <w:rFonts w:ascii="Arial" w:eastAsia="Calibri" w:hAnsi="Arial" w:cs="Arial"/>
          <w:sz w:val="24"/>
          <w:szCs w:val="24"/>
        </w:rPr>
        <w:t>prospectivity</w:t>
      </w:r>
      <w:proofErr w:type="spellEnd"/>
      <w:r w:rsidRPr="00112AC7">
        <w:rPr>
          <w:rFonts w:ascii="Arial" w:eastAsia="Calibri" w:hAnsi="Arial" w:cs="Arial"/>
          <w:sz w:val="24"/>
          <w:szCs w:val="24"/>
        </w:rPr>
        <w:t xml:space="preserve"> on the licence and the reason for relinquishment.</w:t>
      </w:r>
    </w:p>
    <w:p w14:paraId="47E0BBF8" w14:textId="77777777" w:rsidR="00112AC7" w:rsidRPr="00112AC7" w:rsidRDefault="00112AC7" w:rsidP="00112AC7">
      <w:pPr>
        <w:numPr>
          <w:ilvl w:val="0"/>
          <w:numId w:val="3"/>
        </w:numPr>
        <w:spacing w:after="200" w:line="360" w:lineRule="auto"/>
        <w:mirrorIndents/>
        <w:jc w:val="both"/>
        <w:rPr>
          <w:rFonts w:ascii="Arial" w:eastAsia="Calibri" w:hAnsi="Arial" w:cs="Arial"/>
          <w:b/>
          <w:sz w:val="24"/>
          <w:szCs w:val="24"/>
        </w:rPr>
      </w:pPr>
      <w:r w:rsidRPr="00112AC7">
        <w:rPr>
          <w:rFonts w:ascii="Arial" w:eastAsia="Calibri" w:hAnsi="Arial" w:cs="Arial"/>
          <w:b/>
          <w:sz w:val="24"/>
          <w:szCs w:val="24"/>
        </w:rPr>
        <w:t>Clearance</w:t>
      </w:r>
    </w:p>
    <w:p w14:paraId="1397FE1A" w14:textId="77777777" w:rsidR="00112AC7" w:rsidRPr="00112AC7" w:rsidRDefault="00112AC7" w:rsidP="00112AC7">
      <w:pPr>
        <w:spacing w:after="200" w:line="360" w:lineRule="auto"/>
        <w:mirrorIndents/>
        <w:jc w:val="both"/>
        <w:rPr>
          <w:rFonts w:ascii="Arial" w:eastAsia="Calibri" w:hAnsi="Arial" w:cs="Arial"/>
          <w:sz w:val="24"/>
          <w:szCs w:val="24"/>
        </w:rPr>
      </w:pPr>
      <w:r w:rsidRPr="00112AC7">
        <w:rPr>
          <w:rFonts w:ascii="Arial" w:eastAsia="Calibri" w:hAnsi="Arial" w:cs="Arial"/>
          <w:sz w:val="24"/>
          <w:szCs w:val="24"/>
        </w:rPr>
        <w:t>It is important that the submitting operator confirms, within the Report, that the OGA is free to publish the Report and that all 3</w:t>
      </w:r>
      <w:r w:rsidRPr="00112AC7">
        <w:rPr>
          <w:rFonts w:ascii="Arial" w:eastAsia="Calibri" w:hAnsi="Arial" w:cs="Arial"/>
          <w:sz w:val="24"/>
          <w:szCs w:val="24"/>
          <w:vertAlign w:val="superscript"/>
        </w:rPr>
        <w:t>rd</w:t>
      </w:r>
      <w:r w:rsidRPr="00112AC7">
        <w:rPr>
          <w:rFonts w:ascii="Arial" w:eastAsia="Calibri" w:hAnsi="Arial" w:cs="Arial"/>
          <w:sz w:val="24"/>
          <w:szCs w:val="24"/>
        </w:rPr>
        <w:t xml:space="preserve"> party ownership rights (on any contained data and/or interpretations) have been considered and appropriately cleared for publication purposes.</w:t>
      </w:r>
    </w:p>
    <w:p w14:paraId="48FBD93A" w14:textId="77777777" w:rsidR="00112AC7" w:rsidRPr="00112AC7" w:rsidRDefault="00112AC7" w:rsidP="00112AC7">
      <w:pPr>
        <w:spacing w:after="200" w:line="360" w:lineRule="auto"/>
        <w:mirrorIndents/>
        <w:jc w:val="both"/>
        <w:rPr>
          <w:rFonts w:ascii="Arial" w:eastAsia="Calibri" w:hAnsi="Arial" w:cs="Arial"/>
          <w:sz w:val="24"/>
          <w:szCs w:val="24"/>
        </w:rPr>
      </w:pPr>
      <w:r w:rsidRPr="00112AC7">
        <w:rPr>
          <w:rFonts w:ascii="Arial" w:eastAsia="Calibri" w:hAnsi="Arial" w:cs="Arial"/>
          <w:sz w:val="24"/>
          <w:szCs w:val="24"/>
        </w:rPr>
        <w:t>The OGA will only consider withholding publication of the report until after the next licensing round on a clear request in the covering email from the operator.</w:t>
      </w:r>
    </w:p>
    <w:p w14:paraId="00C95F3D" w14:textId="77777777" w:rsidR="00112AC7" w:rsidRPr="00112AC7" w:rsidRDefault="00112AC7" w:rsidP="00112AC7">
      <w:pPr>
        <w:numPr>
          <w:ilvl w:val="0"/>
          <w:numId w:val="3"/>
        </w:numPr>
        <w:spacing w:after="200" w:line="360" w:lineRule="auto"/>
        <w:mirrorIndents/>
        <w:jc w:val="both"/>
        <w:rPr>
          <w:rFonts w:ascii="Arial" w:eastAsia="Calibri" w:hAnsi="Arial" w:cs="Arial"/>
          <w:b/>
          <w:sz w:val="24"/>
          <w:szCs w:val="24"/>
        </w:rPr>
      </w:pPr>
      <w:r w:rsidRPr="00112AC7">
        <w:rPr>
          <w:rFonts w:ascii="Arial" w:eastAsia="Calibri" w:hAnsi="Arial" w:cs="Arial"/>
          <w:b/>
          <w:sz w:val="24"/>
          <w:szCs w:val="24"/>
        </w:rPr>
        <w:t>Maps and Figures</w:t>
      </w:r>
    </w:p>
    <w:p w14:paraId="4857607B" w14:textId="77777777" w:rsidR="00112AC7" w:rsidRPr="00112AC7" w:rsidRDefault="00112AC7" w:rsidP="00112AC7">
      <w:pPr>
        <w:spacing w:after="200" w:line="360" w:lineRule="auto"/>
        <w:mirrorIndents/>
        <w:jc w:val="both"/>
        <w:rPr>
          <w:rFonts w:ascii="Arial" w:eastAsia="Calibri" w:hAnsi="Arial" w:cs="Arial"/>
          <w:sz w:val="24"/>
          <w:szCs w:val="24"/>
        </w:rPr>
      </w:pPr>
      <w:r w:rsidRPr="00112AC7">
        <w:rPr>
          <w:rFonts w:ascii="Arial" w:eastAsia="Calibri" w:hAnsi="Arial" w:cs="Arial"/>
          <w:sz w:val="24"/>
          <w:szCs w:val="24"/>
        </w:rPr>
        <w:t xml:space="preserve">As a minimum, provide a Location Plat, a Structure Map (which can be cut and pasted into the text) at an appropriate scale (but which must cover sufficient National Grid co-ordinates to enable geo-referencing of the prospects within the Licence) on appropriate horizon(s), illustrative seismic sections and illustrative </w:t>
      </w:r>
      <w:proofErr w:type="spellStart"/>
      <w:r w:rsidRPr="00112AC7">
        <w:rPr>
          <w:rFonts w:ascii="Arial" w:eastAsia="Calibri" w:hAnsi="Arial" w:cs="Arial"/>
          <w:sz w:val="24"/>
          <w:szCs w:val="24"/>
        </w:rPr>
        <w:t>geoseismic</w:t>
      </w:r>
      <w:proofErr w:type="spellEnd"/>
      <w:r w:rsidRPr="00112AC7">
        <w:rPr>
          <w:rFonts w:ascii="Arial" w:eastAsia="Calibri" w:hAnsi="Arial" w:cs="Arial"/>
          <w:sz w:val="24"/>
          <w:szCs w:val="24"/>
        </w:rPr>
        <w:t xml:space="preserve"> cross-section(s).</w:t>
      </w:r>
    </w:p>
    <w:p w14:paraId="5B1D26CD" w14:textId="77777777" w:rsidR="005F1410" w:rsidRDefault="006D2750"/>
    <w:sectPr w:rsidR="005F1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1765"/>
    <w:multiLevelType w:val="hybridMultilevel"/>
    <w:tmpl w:val="85DCB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5B42B9"/>
    <w:multiLevelType w:val="hybridMultilevel"/>
    <w:tmpl w:val="C878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9E28A5"/>
    <w:multiLevelType w:val="hybridMultilevel"/>
    <w:tmpl w:val="C4929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602B00"/>
    <w:multiLevelType w:val="hybridMultilevel"/>
    <w:tmpl w:val="BFB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C7"/>
    <w:rsid w:val="00112AC7"/>
    <w:rsid w:val="002349FA"/>
    <w:rsid w:val="006D2750"/>
    <w:rsid w:val="009E2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C7E0"/>
  <w15:chartTrackingRefBased/>
  <w15:docId w15:val="{5482AA49-CF01-4DF7-933F-83DE2F65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ogl.org.uk" TargetMode="External"/><Relationship Id="rId5" Type="http://schemas.openxmlformats.org/officeDocument/2006/relationships/hyperlink" Target="https://ukogl.org.uk/industry-repor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Burrows (Oil &amp; Gas Authority)</dc:creator>
  <cp:keywords/>
  <dc:description/>
  <cp:lastModifiedBy>Ian Furneaux (Oil &amp; Gas Authority)</cp:lastModifiedBy>
  <cp:revision>2</cp:revision>
  <dcterms:created xsi:type="dcterms:W3CDTF">2017-11-28T15:55:00Z</dcterms:created>
  <dcterms:modified xsi:type="dcterms:W3CDTF">2017-11-28T15:55:00Z</dcterms:modified>
</cp:coreProperties>
</file>