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710D5" w14:textId="77777777" w:rsidR="00232DA0" w:rsidRDefault="00232DA0">
      <w:pPr>
        <w:pStyle w:val="Header"/>
      </w:pPr>
      <w:r>
        <w:t>Applications for production licences</w:t>
      </w:r>
    </w:p>
    <w:p w14:paraId="4BE710D6" w14:textId="77777777" w:rsidR="00232DA0" w:rsidRDefault="00030E04">
      <w:pPr>
        <w:pStyle w:val="Header"/>
      </w:pPr>
      <w:r>
        <w:t xml:space="preserve">General </w:t>
      </w:r>
      <w:r w:rsidR="00232DA0">
        <w:t>Guidance</w:t>
      </w:r>
    </w:p>
    <w:p w14:paraId="3EE7AD61" w14:textId="77777777" w:rsidR="004A38C9" w:rsidRDefault="00732144">
      <w:pPr>
        <w:pStyle w:val="TOC2"/>
        <w:tabs>
          <w:tab w:val="right" w:leader="dot" w:pos="9016"/>
        </w:tabs>
        <w:rPr>
          <w:rFonts w:asciiTheme="minorHAnsi" w:eastAsiaTheme="minorEastAsia" w:hAnsiTheme="minorHAnsi" w:cstheme="minorBidi"/>
          <w:b w:val="0"/>
          <w:bCs w:val="0"/>
          <w:noProof/>
          <w:szCs w:val="22"/>
          <w:lang w:eastAsia="en-GB"/>
        </w:rPr>
      </w:pPr>
      <w:r w:rsidRPr="00C44393">
        <w:rPr>
          <w:bCs w:val="0"/>
          <w:caps/>
          <w:smallCaps/>
          <w:sz w:val="20"/>
          <w:szCs w:val="24"/>
          <w14:shadow w14:blurRad="50800" w14:dist="38100" w14:dir="2700000" w14:sx="100000" w14:sy="100000" w14:kx="0" w14:ky="0" w14:algn="tl">
            <w14:srgbClr w14:val="000000">
              <w14:alpha w14:val="60000"/>
            </w14:srgbClr>
          </w14:shadow>
        </w:rPr>
        <w:fldChar w:fldCharType="begin"/>
      </w:r>
      <w:r w:rsidR="00232DA0" w:rsidRPr="00C44393">
        <w:rPr>
          <w:bCs w:val="0"/>
          <w:caps/>
          <w:smallCaps/>
          <w:sz w:val="20"/>
          <w:szCs w:val="24"/>
          <w14:shadow w14:blurRad="50800" w14:dist="38100" w14:dir="2700000" w14:sx="100000" w14:sy="100000" w14:kx="0" w14:ky="0" w14:algn="tl">
            <w14:srgbClr w14:val="000000">
              <w14:alpha w14:val="60000"/>
            </w14:srgbClr>
          </w14:shadow>
        </w:rPr>
        <w:instrText xml:space="preserve"> TOC \o "2-3" \h \z \t "Heading 1,1" </w:instrText>
      </w:r>
      <w:r w:rsidRPr="00C44393">
        <w:rPr>
          <w:bCs w:val="0"/>
          <w:caps/>
          <w:smallCaps/>
          <w:sz w:val="20"/>
          <w:szCs w:val="24"/>
          <w14:shadow w14:blurRad="50800" w14:dist="38100" w14:dir="2700000" w14:sx="100000" w14:sy="100000" w14:kx="0" w14:ky="0" w14:algn="tl">
            <w14:srgbClr w14:val="000000">
              <w14:alpha w14:val="60000"/>
            </w14:srgbClr>
          </w14:shadow>
        </w:rPr>
        <w:fldChar w:fldCharType="separate"/>
      </w:r>
      <w:hyperlink w:anchor="_Toc484787677" w:history="1">
        <w:r w:rsidR="004A38C9" w:rsidRPr="00D46DE8">
          <w:rPr>
            <w:rStyle w:val="Hyperlink"/>
            <w:noProof/>
          </w:rPr>
          <w:t>Guidance for applicants</w:t>
        </w:r>
        <w:r w:rsidR="004A38C9">
          <w:rPr>
            <w:noProof/>
            <w:webHidden/>
          </w:rPr>
          <w:tab/>
        </w:r>
        <w:r w:rsidR="004A38C9">
          <w:rPr>
            <w:noProof/>
            <w:webHidden/>
          </w:rPr>
          <w:fldChar w:fldCharType="begin"/>
        </w:r>
        <w:r w:rsidR="004A38C9">
          <w:rPr>
            <w:noProof/>
            <w:webHidden/>
          </w:rPr>
          <w:instrText xml:space="preserve"> PAGEREF _Toc484787677 \h </w:instrText>
        </w:r>
        <w:r w:rsidR="004A38C9">
          <w:rPr>
            <w:noProof/>
            <w:webHidden/>
          </w:rPr>
        </w:r>
        <w:r w:rsidR="004A38C9">
          <w:rPr>
            <w:noProof/>
            <w:webHidden/>
          </w:rPr>
          <w:fldChar w:fldCharType="separate"/>
        </w:r>
        <w:r w:rsidR="004B7C20">
          <w:rPr>
            <w:noProof/>
            <w:webHidden/>
          </w:rPr>
          <w:t>2</w:t>
        </w:r>
        <w:r w:rsidR="004A38C9">
          <w:rPr>
            <w:noProof/>
            <w:webHidden/>
          </w:rPr>
          <w:fldChar w:fldCharType="end"/>
        </w:r>
      </w:hyperlink>
    </w:p>
    <w:p w14:paraId="58F3484A"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78" w:history="1">
        <w:r w:rsidR="004A38C9" w:rsidRPr="00D46DE8">
          <w:rPr>
            <w:rStyle w:val="Hyperlink"/>
            <w:noProof/>
          </w:rPr>
          <w:t>Type and term of licence</w:t>
        </w:r>
        <w:r w:rsidR="004A38C9">
          <w:rPr>
            <w:noProof/>
            <w:webHidden/>
          </w:rPr>
          <w:tab/>
        </w:r>
        <w:r w:rsidR="004A38C9">
          <w:rPr>
            <w:noProof/>
            <w:webHidden/>
          </w:rPr>
          <w:fldChar w:fldCharType="begin"/>
        </w:r>
        <w:r w:rsidR="004A38C9">
          <w:rPr>
            <w:noProof/>
            <w:webHidden/>
          </w:rPr>
          <w:instrText xml:space="preserve"> PAGEREF _Toc484787678 \h </w:instrText>
        </w:r>
        <w:r w:rsidR="004A38C9">
          <w:rPr>
            <w:noProof/>
            <w:webHidden/>
          </w:rPr>
        </w:r>
        <w:r w:rsidR="004A38C9">
          <w:rPr>
            <w:noProof/>
            <w:webHidden/>
          </w:rPr>
          <w:fldChar w:fldCharType="separate"/>
        </w:r>
        <w:r w:rsidR="004B7C20">
          <w:rPr>
            <w:noProof/>
            <w:webHidden/>
          </w:rPr>
          <w:t>3</w:t>
        </w:r>
        <w:r w:rsidR="004A38C9">
          <w:rPr>
            <w:noProof/>
            <w:webHidden/>
          </w:rPr>
          <w:fldChar w:fldCharType="end"/>
        </w:r>
      </w:hyperlink>
    </w:p>
    <w:p w14:paraId="082927DC"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79" w:history="1">
        <w:r w:rsidR="004A38C9" w:rsidRPr="00D46DE8">
          <w:rPr>
            <w:rStyle w:val="Hyperlink"/>
            <w:noProof/>
          </w:rPr>
          <w:t>The applicant</w:t>
        </w:r>
        <w:r w:rsidR="004A38C9">
          <w:rPr>
            <w:noProof/>
            <w:webHidden/>
          </w:rPr>
          <w:tab/>
        </w:r>
        <w:r w:rsidR="004A38C9">
          <w:rPr>
            <w:noProof/>
            <w:webHidden/>
          </w:rPr>
          <w:fldChar w:fldCharType="begin"/>
        </w:r>
        <w:r w:rsidR="004A38C9">
          <w:rPr>
            <w:noProof/>
            <w:webHidden/>
          </w:rPr>
          <w:instrText xml:space="preserve"> PAGEREF _Toc484787679 \h </w:instrText>
        </w:r>
        <w:r w:rsidR="004A38C9">
          <w:rPr>
            <w:noProof/>
            <w:webHidden/>
          </w:rPr>
        </w:r>
        <w:r w:rsidR="004A38C9">
          <w:rPr>
            <w:noProof/>
            <w:webHidden/>
          </w:rPr>
          <w:fldChar w:fldCharType="separate"/>
        </w:r>
        <w:r w:rsidR="004B7C20">
          <w:rPr>
            <w:noProof/>
            <w:webHidden/>
          </w:rPr>
          <w:t>4</w:t>
        </w:r>
        <w:r w:rsidR="004A38C9">
          <w:rPr>
            <w:noProof/>
            <w:webHidden/>
          </w:rPr>
          <w:fldChar w:fldCharType="end"/>
        </w:r>
      </w:hyperlink>
    </w:p>
    <w:p w14:paraId="2DEAE8C2"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0" w:history="1">
        <w:r w:rsidR="004A38C9" w:rsidRPr="00D46DE8">
          <w:rPr>
            <w:rStyle w:val="Hyperlink"/>
            <w:noProof/>
          </w:rPr>
          <w:t>Acreage</w:t>
        </w:r>
        <w:r w:rsidR="004A38C9">
          <w:rPr>
            <w:noProof/>
            <w:webHidden/>
          </w:rPr>
          <w:tab/>
        </w:r>
        <w:r w:rsidR="004A38C9">
          <w:rPr>
            <w:noProof/>
            <w:webHidden/>
          </w:rPr>
          <w:fldChar w:fldCharType="begin"/>
        </w:r>
        <w:r w:rsidR="004A38C9">
          <w:rPr>
            <w:noProof/>
            <w:webHidden/>
          </w:rPr>
          <w:instrText xml:space="preserve"> PAGEREF _Toc484787680 \h </w:instrText>
        </w:r>
        <w:r w:rsidR="004A38C9">
          <w:rPr>
            <w:noProof/>
            <w:webHidden/>
          </w:rPr>
        </w:r>
        <w:r w:rsidR="004A38C9">
          <w:rPr>
            <w:noProof/>
            <w:webHidden/>
          </w:rPr>
          <w:fldChar w:fldCharType="separate"/>
        </w:r>
        <w:r w:rsidR="004B7C20">
          <w:rPr>
            <w:noProof/>
            <w:webHidden/>
          </w:rPr>
          <w:t>5</w:t>
        </w:r>
        <w:r w:rsidR="004A38C9">
          <w:rPr>
            <w:noProof/>
            <w:webHidden/>
          </w:rPr>
          <w:fldChar w:fldCharType="end"/>
        </w:r>
      </w:hyperlink>
    </w:p>
    <w:p w14:paraId="27F0190B"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1" w:history="1">
        <w:r w:rsidR="004A38C9" w:rsidRPr="00D46DE8">
          <w:rPr>
            <w:rStyle w:val="Hyperlink"/>
            <w:noProof/>
          </w:rPr>
          <w:t>Work Programmes</w:t>
        </w:r>
        <w:r w:rsidR="004A38C9">
          <w:rPr>
            <w:noProof/>
            <w:webHidden/>
          </w:rPr>
          <w:tab/>
        </w:r>
        <w:r w:rsidR="004A38C9">
          <w:rPr>
            <w:noProof/>
            <w:webHidden/>
          </w:rPr>
          <w:fldChar w:fldCharType="begin"/>
        </w:r>
        <w:r w:rsidR="004A38C9">
          <w:rPr>
            <w:noProof/>
            <w:webHidden/>
          </w:rPr>
          <w:instrText xml:space="preserve"> PAGEREF _Toc484787681 \h </w:instrText>
        </w:r>
        <w:r w:rsidR="004A38C9">
          <w:rPr>
            <w:noProof/>
            <w:webHidden/>
          </w:rPr>
        </w:r>
        <w:r w:rsidR="004A38C9">
          <w:rPr>
            <w:noProof/>
            <w:webHidden/>
          </w:rPr>
          <w:fldChar w:fldCharType="separate"/>
        </w:r>
        <w:r w:rsidR="004B7C20">
          <w:rPr>
            <w:noProof/>
            <w:webHidden/>
          </w:rPr>
          <w:t>6</w:t>
        </w:r>
        <w:r w:rsidR="004A38C9">
          <w:rPr>
            <w:noProof/>
            <w:webHidden/>
          </w:rPr>
          <w:fldChar w:fldCharType="end"/>
        </w:r>
      </w:hyperlink>
    </w:p>
    <w:p w14:paraId="40FD882C"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2" w:history="1">
        <w:r w:rsidR="004A38C9" w:rsidRPr="00D46DE8">
          <w:rPr>
            <w:rStyle w:val="Hyperlink"/>
            <w:noProof/>
          </w:rPr>
          <w:t>Application fee</w:t>
        </w:r>
        <w:r w:rsidR="004A38C9">
          <w:rPr>
            <w:noProof/>
            <w:webHidden/>
          </w:rPr>
          <w:tab/>
        </w:r>
        <w:r w:rsidR="004A38C9">
          <w:rPr>
            <w:noProof/>
            <w:webHidden/>
          </w:rPr>
          <w:fldChar w:fldCharType="begin"/>
        </w:r>
        <w:r w:rsidR="004A38C9">
          <w:rPr>
            <w:noProof/>
            <w:webHidden/>
          </w:rPr>
          <w:instrText xml:space="preserve"> PAGEREF _Toc484787682 \h </w:instrText>
        </w:r>
        <w:r w:rsidR="004A38C9">
          <w:rPr>
            <w:noProof/>
            <w:webHidden/>
          </w:rPr>
        </w:r>
        <w:r w:rsidR="004A38C9">
          <w:rPr>
            <w:noProof/>
            <w:webHidden/>
          </w:rPr>
          <w:fldChar w:fldCharType="separate"/>
        </w:r>
        <w:r w:rsidR="004B7C20">
          <w:rPr>
            <w:noProof/>
            <w:webHidden/>
          </w:rPr>
          <w:t>6</w:t>
        </w:r>
        <w:r w:rsidR="004A38C9">
          <w:rPr>
            <w:noProof/>
            <w:webHidden/>
          </w:rPr>
          <w:fldChar w:fldCharType="end"/>
        </w:r>
      </w:hyperlink>
    </w:p>
    <w:p w14:paraId="595DDD45"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3" w:history="1">
        <w:r w:rsidR="004A38C9" w:rsidRPr="00D46DE8">
          <w:rPr>
            <w:rStyle w:val="Hyperlink"/>
            <w:noProof/>
          </w:rPr>
          <w:t>How decisions are reached</w:t>
        </w:r>
        <w:r w:rsidR="004A38C9">
          <w:rPr>
            <w:noProof/>
            <w:webHidden/>
          </w:rPr>
          <w:tab/>
        </w:r>
        <w:r w:rsidR="004A38C9">
          <w:rPr>
            <w:noProof/>
            <w:webHidden/>
          </w:rPr>
          <w:fldChar w:fldCharType="begin"/>
        </w:r>
        <w:r w:rsidR="004A38C9">
          <w:rPr>
            <w:noProof/>
            <w:webHidden/>
          </w:rPr>
          <w:instrText xml:space="preserve"> PAGEREF _Toc484787683 \h </w:instrText>
        </w:r>
        <w:r w:rsidR="004A38C9">
          <w:rPr>
            <w:noProof/>
            <w:webHidden/>
          </w:rPr>
        </w:r>
        <w:r w:rsidR="004A38C9">
          <w:rPr>
            <w:noProof/>
            <w:webHidden/>
          </w:rPr>
          <w:fldChar w:fldCharType="separate"/>
        </w:r>
        <w:r w:rsidR="004B7C20">
          <w:rPr>
            <w:noProof/>
            <w:webHidden/>
          </w:rPr>
          <w:t>7</w:t>
        </w:r>
        <w:r w:rsidR="004A38C9">
          <w:rPr>
            <w:noProof/>
            <w:webHidden/>
          </w:rPr>
          <w:fldChar w:fldCharType="end"/>
        </w:r>
      </w:hyperlink>
    </w:p>
    <w:p w14:paraId="00FE7F61"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4" w:history="1">
        <w:r w:rsidR="004A38C9" w:rsidRPr="00D46DE8">
          <w:rPr>
            <w:rStyle w:val="Hyperlink"/>
            <w:noProof/>
          </w:rPr>
          <w:t>Transparency</w:t>
        </w:r>
        <w:r w:rsidR="004A38C9">
          <w:rPr>
            <w:noProof/>
            <w:webHidden/>
          </w:rPr>
          <w:tab/>
        </w:r>
        <w:r w:rsidR="004A38C9">
          <w:rPr>
            <w:noProof/>
            <w:webHidden/>
          </w:rPr>
          <w:fldChar w:fldCharType="begin"/>
        </w:r>
        <w:r w:rsidR="004A38C9">
          <w:rPr>
            <w:noProof/>
            <w:webHidden/>
          </w:rPr>
          <w:instrText xml:space="preserve"> PAGEREF _Toc484787684 \h </w:instrText>
        </w:r>
        <w:r w:rsidR="004A38C9">
          <w:rPr>
            <w:noProof/>
            <w:webHidden/>
          </w:rPr>
        </w:r>
        <w:r w:rsidR="004A38C9">
          <w:rPr>
            <w:noProof/>
            <w:webHidden/>
          </w:rPr>
          <w:fldChar w:fldCharType="separate"/>
        </w:r>
        <w:r w:rsidR="004B7C20">
          <w:rPr>
            <w:noProof/>
            <w:webHidden/>
          </w:rPr>
          <w:t>8</w:t>
        </w:r>
        <w:r w:rsidR="004A38C9">
          <w:rPr>
            <w:noProof/>
            <w:webHidden/>
          </w:rPr>
          <w:fldChar w:fldCharType="end"/>
        </w:r>
      </w:hyperlink>
    </w:p>
    <w:p w14:paraId="3E696183"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5" w:history="1">
        <w:r w:rsidR="004A38C9" w:rsidRPr="00D46DE8">
          <w:rPr>
            <w:rStyle w:val="Hyperlink"/>
            <w:noProof/>
          </w:rPr>
          <w:t>Out-of-round applications</w:t>
        </w:r>
        <w:r w:rsidR="004A38C9">
          <w:rPr>
            <w:noProof/>
            <w:webHidden/>
          </w:rPr>
          <w:tab/>
        </w:r>
        <w:r w:rsidR="004A38C9">
          <w:rPr>
            <w:noProof/>
            <w:webHidden/>
          </w:rPr>
          <w:fldChar w:fldCharType="begin"/>
        </w:r>
        <w:r w:rsidR="004A38C9">
          <w:rPr>
            <w:noProof/>
            <w:webHidden/>
          </w:rPr>
          <w:instrText xml:space="preserve"> PAGEREF _Toc484787685 \h </w:instrText>
        </w:r>
        <w:r w:rsidR="004A38C9">
          <w:rPr>
            <w:noProof/>
            <w:webHidden/>
          </w:rPr>
        </w:r>
        <w:r w:rsidR="004A38C9">
          <w:rPr>
            <w:noProof/>
            <w:webHidden/>
          </w:rPr>
          <w:fldChar w:fldCharType="separate"/>
        </w:r>
        <w:r w:rsidR="004B7C20">
          <w:rPr>
            <w:noProof/>
            <w:webHidden/>
          </w:rPr>
          <w:t>9</w:t>
        </w:r>
        <w:r w:rsidR="004A38C9">
          <w:rPr>
            <w:noProof/>
            <w:webHidden/>
          </w:rPr>
          <w:fldChar w:fldCharType="end"/>
        </w:r>
      </w:hyperlink>
    </w:p>
    <w:p w14:paraId="6BCEBE0C"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86" w:history="1">
        <w:r w:rsidR="004A38C9" w:rsidRPr="00D46DE8">
          <w:rPr>
            <w:rStyle w:val="Hyperlink"/>
            <w:noProof/>
          </w:rPr>
          <w:t>General issues</w:t>
        </w:r>
        <w:r w:rsidR="004A38C9">
          <w:rPr>
            <w:noProof/>
            <w:webHidden/>
          </w:rPr>
          <w:tab/>
        </w:r>
        <w:r w:rsidR="004A38C9">
          <w:rPr>
            <w:noProof/>
            <w:webHidden/>
          </w:rPr>
          <w:fldChar w:fldCharType="begin"/>
        </w:r>
        <w:r w:rsidR="004A38C9">
          <w:rPr>
            <w:noProof/>
            <w:webHidden/>
          </w:rPr>
          <w:instrText xml:space="preserve"> PAGEREF _Toc484787686 \h </w:instrText>
        </w:r>
        <w:r w:rsidR="004A38C9">
          <w:rPr>
            <w:noProof/>
            <w:webHidden/>
          </w:rPr>
        </w:r>
        <w:r w:rsidR="004A38C9">
          <w:rPr>
            <w:noProof/>
            <w:webHidden/>
          </w:rPr>
          <w:fldChar w:fldCharType="separate"/>
        </w:r>
        <w:r w:rsidR="004B7C20">
          <w:rPr>
            <w:noProof/>
            <w:webHidden/>
          </w:rPr>
          <w:t>9</w:t>
        </w:r>
        <w:r w:rsidR="004A38C9">
          <w:rPr>
            <w:noProof/>
            <w:webHidden/>
          </w:rPr>
          <w:fldChar w:fldCharType="end"/>
        </w:r>
      </w:hyperlink>
    </w:p>
    <w:p w14:paraId="755DC765" w14:textId="77777777" w:rsidR="004A38C9" w:rsidRDefault="00A51FC4">
      <w:pPr>
        <w:pStyle w:val="TOC2"/>
        <w:tabs>
          <w:tab w:val="right" w:leader="dot" w:pos="9016"/>
        </w:tabs>
        <w:rPr>
          <w:rFonts w:asciiTheme="minorHAnsi" w:eastAsiaTheme="minorEastAsia" w:hAnsiTheme="minorHAnsi" w:cstheme="minorBidi"/>
          <w:b w:val="0"/>
          <w:bCs w:val="0"/>
          <w:noProof/>
          <w:szCs w:val="22"/>
          <w:lang w:eastAsia="en-GB"/>
        </w:rPr>
      </w:pPr>
      <w:hyperlink w:anchor="_Toc484787687" w:history="1">
        <w:r w:rsidR="004A38C9" w:rsidRPr="00D46DE8">
          <w:rPr>
            <w:rStyle w:val="Hyperlink"/>
            <w:noProof/>
          </w:rPr>
          <w:t>Annexe 1: Rentals</w:t>
        </w:r>
        <w:r w:rsidR="004A38C9">
          <w:rPr>
            <w:noProof/>
            <w:webHidden/>
          </w:rPr>
          <w:tab/>
        </w:r>
        <w:r w:rsidR="004A38C9">
          <w:rPr>
            <w:noProof/>
            <w:webHidden/>
          </w:rPr>
          <w:fldChar w:fldCharType="begin"/>
        </w:r>
        <w:r w:rsidR="004A38C9">
          <w:rPr>
            <w:noProof/>
            <w:webHidden/>
          </w:rPr>
          <w:instrText xml:space="preserve"> PAGEREF _Toc484787687 \h </w:instrText>
        </w:r>
        <w:r w:rsidR="004A38C9">
          <w:rPr>
            <w:noProof/>
            <w:webHidden/>
          </w:rPr>
        </w:r>
        <w:r w:rsidR="004A38C9">
          <w:rPr>
            <w:noProof/>
            <w:webHidden/>
          </w:rPr>
          <w:fldChar w:fldCharType="separate"/>
        </w:r>
        <w:r w:rsidR="004B7C20">
          <w:rPr>
            <w:noProof/>
            <w:webHidden/>
          </w:rPr>
          <w:t>11</w:t>
        </w:r>
        <w:r w:rsidR="004A38C9">
          <w:rPr>
            <w:noProof/>
            <w:webHidden/>
          </w:rPr>
          <w:fldChar w:fldCharType="end"/>
        </w:r>
      </w:hyperlink>
    </w:p>
    <w:p w14:paraId="29B76341" w14:textId="77777777" w:rsidR="004A38C9" w:rsidRDefault="00A51FC4">
      <w:pPr>
        <w:pStyle w:val="TOC2"/>
        <w:tabs>
          <w:tab w:val="right" w:leader="dot" w:pos="9016"/>
        </w:tabs>
        <w:rPr>
          <w:rFonts w:asciiTheme="minorHAnsi" w:eastAsiaTheme="minorEastAsia" w:hAnsiTheme="minorHAnsi" w:cstheme="minorBidi"/>
          <w:b w:val="0"/>
          <w:bCs w:val="0"/>
          <w:noProof/>
          <w:szCs w:val="22"/>
          <w:lang w:eastAsia="en-GB"/>
        </w:rPr>
      </w:pPr>
      <w:hyperlink w:anchor="_Toc484787688" w:history="1">
        <w:r w:rsidR="004A38C9" w:rsidRPr="00D46DE8">
          <w:rPr>
            <w:rStyle w:val="Hyperlink"/>
            <w:noProof/>
          </w:rPr>
          <w:t>Annexe 2: Contacts</w:t>
        </w:r>
        <w:r w:rsidR="004A38C9">
          <w:rPr>
            <w:noProof/>
            <w:webHidden/>
          </w:rPr>
          <w:tab/>
        </w:r>
        <w:r w:rsidR="004A38C9">
          <w:rPr>
            <w:noProof/>
            <w:webHidden/>
          </w:rPr>
          <w:fldChar w:fldCharType="begin"/>
        </w:r>
        <w:r w:rsidR="004A38C9">
          <w:rPr>
            <w:noProof/>
            <w:webHidden/>
          </w:rPr>
          <w:instrText xml:space="preserve"> PAGEREF _Toc484787688 \h </w:instrText>
        </w:r>
        <w:r w:rsidR="004A38C9">
          <w:rPr>
            <w:noProof/>
            <w:webHidden/>
          </w:rPr>
        </w:r>
        <w:r w:rsidR="004A38C9">
          <w:rPr>
            <w:noProof/>
            <w:webHidden/>
          </w:rPr>
          <w:fldChar w:fldCharType="separate"/>
        </w:r>
        <w:r w:rsidR="004B7C20">
          <w:rPr>
            <w:noProof/>
            <w:webHidden/>
          </w:rPr>
          <w:t>13</w:t>
        </w:r>
        <w:r w:rsidR="004A38C9">
          <w:rPr>
            <w:noProof/>
            <w:webHidden/>
          </w:rPr>
          <w:fldChar w:fldCharType="end"/>
        </w:r>
      </w:hyperlink>
    </w:p>
    <w:p w14:paraId="7B678E4D" w14:textId="77777777" w:rsidR="004A38C9" w:rsidRDefault="00A51FC4">
      <w:pPr>
        <w:pStyle w:val="TOC2"/>
        <w:tabs>
          <w:tab w:val="right" w:leader="dot" w:pos="9016"/>
        </w:tabs>
        <w:rPr>
          <w:rFonts w:asciiTheme="minorHAnsi" w:eastAsiaTheme="minorEastAsia" w:hAnsiTheme="minorHAnsi" w:cstheme="minorBidi"/>
          <w:b w:val="0"/>
          <w:bCs w:val="0"/>
          <w:noProof/>
          <w:szCs w:val="22"/>
          <w:lang w:eastAsia="en-GB"/>
        </w:rPr>
      </w:pPr>
      <w:hyperlink w:anchor="_Toc484787689" w:history="1">
        <w:r w:rsidR="004A38C9" w:rsidRPr="00D46DE8">
          <w:rPr>
            <w:rStyle w:val="Hyperlink"/>
            <w:noProof/>
          </w:rPr>
          <w:t>Index</w:t>
        </w:r>
        <w:r w:rsidR="004A38C9">
          <w:rPr>
            <w:noProof/>
            <w:webHidden/>
          </w:rPr>
          <w:tab/>
        </w:r>
        <w:r w:rsidR="004A38C9">
          <w:rPr>
            <w:noProof/>
            <w:webHidden/>
          </w:rPr>
          <w:fldChar w:fldCharType="begin"/>
        </w:r>
        <w:r w:rsidR="004A38C9">
          <w:rPr>
            <w:noProof/>
            <w:webHidden/>
          </w:rPr>
          <w:instrText xml:space="preserve"> PAGEREF _Toc484787689 \h </w:instrText>
        </w:r>
        <w:r w:rsidR="004A38C9">
          <w:rPr>
            <w:noProof/>
            <w:webHidden/>
          </w:rPr>
        </w:r>
        <w:r w:rsidR="004A38C9">
          <w:rPr>
            <w:noProof/>
            <w:webHidden/>
          </w:rPr>
          <w:fldChar w:fldCharType="separate"/>
        </w:r>
        <w:r w:rsidR="004B7C20">
          <w:rPr>
            <w:noProof/>
            <w:webHidden/>
          </w:rPr>
          <w:t>14</w:t>
        </w:r>
        <w:r w:rsidR="004A38C9">
          <w:rPr>
            <w:noProof/>
            <w:webHidden/>
          </w:rPr>
          <w:fldChar w:fldCharType="end"/>
        </w:r>
      </w:hyperlink>
    </w:p>
    <w:p w14:paraId="4ECB0A12" w14:textId="77777777" w:rsidR="004A38C9" w:rsidRDefault="00A51FC4">
      <w:pPr>
        <w:pStyle w:val="TOC1"/>
        <w:tabs>
          <w:tab w:val="right" w:leader="dot" w:pos="9016"/>
        </w:tabs>
        <w:rPr>
          <w:rFonts w:asciiTheme="minorHAnsi" w:eastAsiaTheme="minorEastAsia" w:hAnsiTheme="minorHAnsi" w:cstheme="minorBidi"/>
          <w:b w:val="0"/>
          <w:bCs w:val="0"/>
          <w:i w:val="0"/>
          <w:iCs w:val="0"/>
          <w:noProof/>
          <w:szCs w:val="22"/>
          <w:lang w:eastAsia="en-GB"/>
        </w:rPr>
      </w:pPr>
      <w:hyperlink w:anchor="_Toc484787690" w:history="1">
        <w:r w:rsidR="004A38C9" w:rsidRPr="00D46DE8">
          <w:rPr>
            <w:rStyle w:val="Hyperlink"/>
            <w:noProof/>
          </w:rPr>
          <w:t>Webtext</w:t>
        </w:r>
        <w:r w:rsidR="004A38C9">
          <w:rPr>
            <w:noProof/>
            <w:webHidden/>
          </w:rPr>
          <w:tab/>
        </w:r>
        <w:r w:rsidR="004A38C9">
          <w:rPr>
            <w:noProof/>
            <w:webHidden/>
          </w:rPr>
          <w:fldChar w:fldCharType="begin"/>
        </w:r>
        <w:r w:rsidR="004A38C9">
          <w:rPr>
            <w:noProof/>
            <w:webHidden/>
          </w:rPr>
          <w:instrText xml:space="preserve"> PAGEREF _Toc484787690 \h </w:instrText>
        </w:r>
        <w:r w:rsidR="004A38C9">
          <w:rPr>
            <w:noProof/>
            <w:webHidden/>
          </w:rPr>
        </w:r>
        <w:r w:rsidR="004A38C9">
          <w:rPr>
            <w:noProof/>
            <w:webHidden/>
          </w:rPr>
          <w:fldChar w:fldCharType="separate"/>
        </w:r>
        <w:r w:rsidR="004B7C20">
          <w:rPr>
            <w:noProof/>
            <w:webHidden/>
          </w:rPr>
          <w:t>15</w:t>
        </w:r>
        <w:r w:rsidR="004A38C9">
          <w:rPr>
            <w:noProof/>
            <w:webHidden/>
          </w:rPr>
          <w:fldChar w:fldCharType="end"/>
        </w:r>
      </w:hyperlink>
    </w:p>
    <w:p w14:paraId="5E4E362B"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91" w:history="1">
        <w:r w:rsidR="004A38C9" w:rsidRPr="00D46DE8">
          <w:rPr>
            <w:rStyle w:val="Hyperlink"/>
            <w:noProof/>
          </w:rPr>
          <w:t>Production licences</w:t>
        </w:r>
        <w:r w:rsidR="004A38C9">
          <w:rPr>
            <w:noProof/>
            <w:webHidden/>
          </w:rPr>
          <w:tab/>
        </w:r>
        <w:r w:rsidR="004A38C9">
          <w:rPr>
            <w:noProof/>
            <w:webHidden/>
          </w:rPr>
          <w:fldChar w:fldCharType="begin"/>
        </w:r>
        <w:r w:rsidR="004A38C9">
          <w:rPr>
            <w:noProof/>
            <w:webHidden/>
          </w:rPr>
          <w:instrText xml:space="preserve"> PAGEREF _Toc484787691 \h </w:instrText>
        </w:r>
        <w:r w:rsidR="004A38C9">
          <w:rPr>
            <w:noProof/>
            <w:webHidden/>
          </w:rPr>
        </w:r>
        <w:r w:rsidR="004A38C9">
          <w:rPr>
            <w:noProof/>
            <w:webHidden/>
          </w:rPr>
          <w:fldChar w:fldCharType="separate"/>
        </w:r>
        <w:r w:rsidR="004B7C20">
          <w:rPr>
            <w:noProof/>
            <w:webHidden/>
          </w:rPr>
          <w:t>15</w:t>
        </w:r>
        <w:r w:rsidR="004A38C9">
          <w:rPr>
            <w:noProof/>
            <w:webHidden/>
          </w:rPr>
          <w:fldChar w:fldCharType="end"/>
        </w:r>
      </w:hyperlink>
    </w:p>
    <w:p w14:paraId="79810375" w14:textId="77777777" w:rsidR="004A38C9" w:rsidRDefault="00A51FC4">
      <w:pPr>
        <w:pStyle w:val="TOC3"/>
        <w:tabs>
          <w:tab w:val="right" w:leader="dot" w:pos="9016"/>
        </w:tabs>
        <w:rPr>
          <w:rFonts w:asciiTheme="minorHAnsi" w:eastAsiaTheme="minorEastAsia" w:hAnsiTheme="minorHAnsi" w:cstheme="minorBidi"/>
          <w:noProof/>
          <w:szCs w:val="22"/>
          <w:lang w:eastAsia="en-GB"/>
        </w:rPr>
      </w:pPr>
      <w:hyperlink w:anchor="_Toc484787692" w:history="1">
        <w:r w:rsidR="004A38C9" w:rsidRPr="00D46DE8">
          <w:rPr>
            <w:rStyle w:val="Hyperlink"/>
            <w:noProof/>
          </w:rPr>
          <w:t>Offshore Innovate Licence</w:t>
        </w:r>
        <w:r w:rsidR="004A38C9">
          <w:rPr>
            <w:noProof/>
            <w:webHidden/>
          </w:rPr>
          <w:tab/>
        </w:r>
        <w:r w:rsidR="004A38C9">
          <w:rPr>
            <w:noProof/>
            <w:webHidden/>
          </w:rPr>
          <w:fldChar w:fldCharType="begin"/>
        </w:r>
        <w:r w:rsidR="004A38C9">
          <w:rPr>
            <w:noProof/>
            <w:webHidden/>
          </w:rPr>
          <w:instrText xml:space="preserve"> PAGEREF _Toc484787692 \h </w:instrText>
        </w:r>
        <w:r w:rsidR="004A38C9">
          <w:rPr>
            <w:noProof/>
            <w:webHidden/>
          </w:rPr>
        </w:r>
        <w:r w:rsidR="004A38C9">
          <w:rPr>
            <w:noProof/>
            <w:webHidden/>
          </w:rPr>
          <w:fldChar w:fldCharType="separate"/>
        </w:r>
        <w:r w:rsidR="004B7C20">
          <w:rPr>
            <w:noProof/>
            <w:webHidden/>
          </w:rPr>
          <w:t>15</w:t>
        </w:r>
        <w:r w:rsidR="004A38C9">
          <w:rPr>
            <w:noProof/>
            <w:webHidden/>
          </w:rPr>
          <w:fldChar w:fldCharType="end"/>
        </w:r>
      </w:hyperlink>
    </w:p>
    <w:p w14:paraId="4BE710E4" w14:textId="77777777" w:rsidR="00232DA0" w:rsidRDefault="00732144">
      <w:pPr>
        <w:pStyle w:val="Heading2"/>
      </w:pPr>
      <w:r w:rsidRPr="00C44393">
        <w:rPr>
          <w:rFonts w:ascii="Times New Roman" w:hAnsi="Times New Roman"/>
          <w:bCs/>
          <w:caps w:val="0"/>
          <w:smallCaps w:val="0"/>
          <w:color w:val="auto"/>
          <w:sz w:val="20"/>
          <w:szCs w:val="24"/>
        </w:rPr>
        <w:lastRenderedPageBreak/>
        <w:fldChar w:fldCharType="end"/>
      </w:r>
      <w:bookmarkStart w:id="0" w:name="_Toc484787677"/>
      <w:r w:rsidR="00232DA0">
        <w:t>Guidance for applicants</w:t>
      </w:r>
      <w:bookmarkEnd w:id="0"/>
      <w:r w:rsidR="00232DA0">
        <w:t xml:space="preserve"> </w:t>
      </w:r>
    </w:p>
    <w:p w14:paraId="4BE710E5" w14:textId="77777777" w:rsidR="00B830D6" w:rsidRDefault="00232DA0">
      <w:pPr>
        <w:pStyle w:val="IntroPara"/>
      </w:pPr>
      <w:r>
        <w:t>Companies who want to participate in the exploitation of the UK’s oil &amp; gas resources need (among other things) a Production Licence</w:t>
      </w:r>
      <w:r w:rsidR="007D1CA8">
        <w:t xml:space="preserve"> from </w:t>
      </w:r>
      <w:r w:rsidR="00790639">
        <w:t>the Oil and Gas Authority (</w:t>
      </w:r>
      <w:r w:rsidR="00855BAB">
        <w:t>the</w:t>
      </w:r>
      <w:r w:rsidR="00B830D6">
        <w:t xml:space="preserve"> OGA</w:t>
      </w:r>
      <w:r w:rsidR="00790639">
        <w:t>)</w:t>
      </w:r>
      <w:r w:rsidR="000E63F5">
        <w:t>.</w:t>
      </w:r>
      <w:r w:rsidR="00914D55">
        <w:t xml:space="preserve"> </w:t>
      </w:r>
    </w:p>
    <w:p w14:paraId="4BE710E6" w14:textId="77777777" w:rsidR="00232DA0" w:rsidRDefault="00B830D6">
      <w:pPr>
        <w:pStyle w:val="IntroPara"/>
      </w:pPr>
      <w:r>
        <w:t xml:space="preserve">The OGA operates a competitive system for awarding Production Licences. </w:t>
      </w:r>
      <w:r w:rsidR="00232DA0">
        <w:t xml:space="preserve">Most </w:t>
      </w:r>
      <w:r>
        <w:t xml:space="preserve">such </w:t>
      </w:r>
      <w:r w:rsidR="00232DA0">
        <w:t>licences are applied for, and issued, in Licensing Rounds.</w:t>
      </w:r>
    </w:p>
    <w:p w14:paraId="4BE710E7" w14:textId="670576DA" w:rsidR="00232DA0" w:rsidRDefault="00232DA0">
      <w:pPr>
        <w:pStyle w:val="IntroPara"/>
      </w:pPr>
      <w:r>
        <w:t xml:space="preserve">This note is intended </w:t>
      </w:r>
      <w:r w:rsidR="00503807">
        <w:t xml:space="preserve">to be used </w:t>
      </w:r>
      <w:r>
        <w:t xml:space="preserve">as guidance for applicants </w:t>
      </w:r>
      <w:r w:rsidR="00B830D6">
        <w:t xml:space="preserve">for Production Licences, </w:t>
      </w:r>
      <w:r>
        <w:t xml:space="preserve">and sets out how to complete, support and </w:t>
      </w:r>
      <w:proofErr w:type="gramStart"/>
      <w:r>
        <w:t>submit an application</w:t>
      </w:r>
      <w:proofErr w:type="gramEnd"/>
      <w:r>
        <w:t xml:space="preserve">. </w:t>
      </w:r>
      <w:r w:rsidR="00B830D6">
        <w:t xml:space="preserve">The OGA’s </w:t>
      </w:r>
      <w:r>
        <w:t>website (</w:t>
      </w:r>
      <w:hyperlink r:id="rId12" w:history="1">
        <w:r w:rsidR="00491F8A">
          <w:rPr>
            <w:rStyle w:val="Hyperlink"/>
          </w:rPr>
          <w:t>Oil and gas: licensing rounds</w:t>
        </w:r>
      </w:hyperlink>
      <w:r>
        <w:t>) carries pointers to other useful information, including general information about the Licensing system and the availability of technical data.</w:t>
      </w:r>
    </w:p>
    <w:p w14:paraId="57AD7325" w14:textId="022050B6" w:rsidR="004975EC" w:rsidRDefault="00367FB5">
      <w:pPr>
        <w:pStyle w:val="IntroPara"/>
      </w:pPr>
      <w:r>
        <w:t xml:space="preserve">This note offers general guidance about </w:t>
      </w:r>
      <w:r w:rsidR="00855BAB">
        <w:t>the</w:t>
      </w:r>
      <w:r w:rsidR="00B830D6">
        <w:t xml:space="preserve"> OGA</w:t>
      </w:r>
      <w:r w:rsidR="002C7C7C">
        <w:t xml:space="preserve"> </w:t>
      </w:r>
      <w:r>
        <w:t xml:space="preserve">policy and a high-level </w:t>
      </w:r>
      <w:r w:rsidR="00E463E8">
        <w:t>overview of</w:t>
      </w:r>
      <w:r>
        <w:t xml:space="preserve"> the process. </w:t>
      </w:r>
      <w:r w:rsidR="004975EC">
        <w:t>It is not a substitute for any regulation or law, and is not legal advice.</w:t>
      </w:r>
    </w:p>
    <w:p w14:paraId="4BE710E8" w14:textId="34272623" w:rsidR="00232DA0" w:rsidRDefault="00367FB5">
      <w:pPr>
        <w:pStyle w:val="IntroPara"/>
      </w:pPr>
      <w:r>
        <w:t xml:space="preserve">There are separate </w:t>
      </w:r>
      <w:r w:rsidR="00DF087A">
        <w:t xml:space="preserve">and more detailed </w:t>
      </w:r>
      <w:r>
        <w:t xml:space="preserve">guidance notes about </w:t>
      </w:r>
      <w:r w:rsidR="003C0FBA">
        <w:t xml:space="preserve">safety, </w:t>
      </w:r>
      <w:r>
        <w:t xml:space="preserve">environmental, technical and financial aspects of </w:t>
      </w:r>
      <w:r w:rsidR="00855BAB">
        <w:t>the</w:t>
      </w:r>
      <w:r w:rsidR="00B830D6">
        <w:t xml:space="preserve"> OGA</w:t>
      </w:r>
      <w:r w:rsidR="002C7C7C">
        <w:t xml:space="preserve">’s </w:t>
      </w:r>
      <w:r>
        <w:t xml:space="preserve">decisions. </w:t>
      </w:r>
      <w:r w:rsidR="00232DA0">
        <w:t xml:space="preserve">If you have any further queries, or need clarification of anything discussed here, there is a list of </w:t>
      </w:r>
      <w:hyperlink w:anchor="_Annexe_3:_Contacts" w:history="1">
        <w:r w:rsidR="00232DA0">
          <w:rPr>
            <w:rStyle w:val="Hyperlink"/>
          </w:rPr>
          <w:t>Contacts</w:t>
        </w:r>
      </w:hyperlink>
      <w:r w:rsidR="00232DA0">
        <w:t xml:space="preserve"> at the end. </w:t>
      </w:r>
    </w:p>
    <w:p w14:paraId="4BE710E9" w14:textId="77777777" w:rsidR="003B5279" w:rsidRPr="000C747A" w:rsidRDefault="00232DA0" w:rsidP="00734C6C">
      <w:pPr>
        <w:pStyle w:val="BulletText"/>
      </w:pPr>
      <w:r w:rsidRPr="000C747A">
        <w:t xml:space="preserve">Anyone who wants to </w:t>
      </w:r>
      <w:r w:rsidR="00503807" w:rsidRPr="000C747A">
        <w:t>explore for, drill for or extract</w:t>
      </w:r>
      <w:r w:rsidRPr="000C747A">
        <w:t xml:space="preserve"> oil or gas in the UK (except onshore </w:t>
      </w:r>
      <w:hyperlink r:id="rId13" w:history="1">
        <w:r w:rsidR="00D250D5" w:rsidRPr="000C747A">
          <w:t>Northern Ireland</w:t>
        </w:r>
        <w:r w:rsidR="00732144" w:rsidRPr="000C747A">
          <w:fldChar w:fldCharType="begin"/>
        </w:r>
        <w:r w:rsidR="00D250D5" w:rsidRPr="000C747A">
          <w:instrText xml:space="preserve"> XE "Northern Ireland" </w:instrText>
        </w:r>
        <w:r w:rsidR="00732144" w:rsidRPr="000C747A">
          <w:fldChar w:fldCharType="end"/>
        </w:r>
      </w:hyperlink>
      <w:r w:rsidR="00D250D5" w:rsidRPr="000C747A">
        <w:t xml:space="preserve">) must hold a licence </w:t>
      </w:r>
      <w:r w:rsidR="00D250D5" w:rsidRPr="002342D2">
        <w:t>issued</w:t>
      </w:r>
      <w:r w:rsidR="00D250D5" w:rsidRPr="000C747A">
        <w:t xml:space="preserve"> under the </w:t>
      </w:r>
      <w:hyperlink r:id="rId14" w:history="1">
        <w:r w:rsidR="00D250D5" w:rsidRPr="000C747A">
          <w:t>Petroleum Act 1998</w:t>
        </w:r>
      </w:hyperlink>
      <w:r w:rsidR="00DF087A">
        <w:rPr>
          <w:rStyle w:val="FootnoteReference"/>
        </w:rPr>
        <w:footnoteReference w:id="1"/>
      </w:r>
      <w:r w:rsidR="00D250D5" w:rsidRPr="000C747A">
        <w:t xml:space="preserve"> by </w:t>
      </w:r>
      <w:r w:rsidR="00B830D6">
        <w:t>the OGA</w:t>
      </w:r>
      <w:r w:rsidR="00732144" w:rsidRPr="000C747A">
        <w:fldChar w:fldCharType="begin"/>
      </w:r>
      <w:r w:rsidR="00D250D5" w:rsidRPr="000C747A">
        <w:instrText xml:space="preserve"> XE "Petroleum Act 1998" </w:instrText>
      </w:r>
      <w:r w:rsidR="00732144" w:rsidRPr="000C747A">
        <w:fldChar w:fldCharType="end"/>
      </w:r>
      <w:r w:rsidR="00D250D5" w:rsidRPr="000C747A">
        <w:t xml:space="preserve">. </w:t>
      </w:r>
    </w:p>
    <w:p w14:paraId="4BE710EA" w14:textId="2659E90C" w:rsidR="003B5279" w:rsidRDefault="00232DA0" w:rsidP="00734C6C">
      <w:pPr>
        <w:pStyle w:val="BulletText"/>
      </w:pPr>
      <w:r w:rsidRPr="00B93552">
        <w:t>Ap</w:t>
      </w:r>
      <w:r>
        <w:t xml:space="preserve">plications for </w:t>
      </w:r>
      <w:r w:rsidR="00316B6F">
        <w:t>such l</w:t>
      </w:r>
      <w:r>
        <w:t xml:space="preserve">icences can only be made in response to a formal invitation from </w:t>
      </w:r>
      <w:r w:rsidR="00B830D6">
        <w:t>the OGA</w:t>
      </w:r>
      <w:r>
        <w:t>. We post these invitations in the Official Journal</w:t>
      </w:r>
      <w:r w:rsidR="00732144">
        <w:fldChar w:fldCharType="begin"/>
      </w:r>
      <w:r>
        <w:instrText xml:space="preserve"> XE "Official Journal of the European Union" </w:instrText>
      </w:r>
      <w:r w:rsidR="00732144">
        <w:fldChar w:fldCharType="end"/>
      </w:r>
      <w:r>
        <w:t xml:space="preserve"> of the European Union, and advertise them prominently on </w:t>
      </w:r>
      <w:r w:rsidR="00C25933">
        <w:t xml:space="preserve">the </w:t>
      </w:r>
      <w:hyperlink r:id="rId15" w:history="1">
        <w:r w:rsidR="009F6940" w:rsidRPr="009F6940">
          <w:rPr>
            <w:rStyle w:val="Hyperlink"/>
          </w:rPr>
          <w:t>OGA</w:t>
        </w:r>
      </w:hyperlink>
      <w:r w:rsidR="009F6940">
        <w:rPr>
          <w:u w:val="single"/>
        </w:rPr>
        <w:t xml:space="preserve"> w</w:t>
      </w:r>
      <w:r>
        <w:t>ebsite</w:t>
      </w:r>
      <w:r w:rsidR="005C780F">
        <w:rPr>
          <w:rStyle w:val="FootnoteReference"/>
        </w:rPr>
        <w:footnoteReference w:id="2"/>
      </w:r>
      <w:r>
        <w:t>. Usually we issue general invitations in Licensing Rounds</w:t>
      </w:r>
      <w:r w:rsidR="00DF087A">
        <w:t xml:space="preserve">, either </w:t>
      </w:r>
      <w:r>
        <w:t xml:space="preserve">onshore </w:t>
      </w:r>
      <w:r w:rsidR="00DF087A">
        <w:t xml:space="preserve">or </w:t>
      </w:r>
      <w:r>
        <w:t xml:space="preserve">offshore, but exceptionally we may invite </w:t>
      </w:r>
      <w:hyperlink w:anchor="_Out-of-round_applications" w:history="1">
        <w:r w:rsidRPr="00F00364">
          <w:t>out-of-round applications</w:t>
        </w:r>
      </w:hyperlink>
      <w:r>
        <w:t xml:space="preserve"> for small area</w:t>
      </w:r>
      <w:r w:rsidR="00C94B91">
        <w:t>s</w:t>
      </w:r>
      <w:r>
        <w:t xml:space="preserve"> in response to a request from a company. The invitation will specify the acreage </w:t>
      </w:r>
      <w:r w:rsidR="00B830D6">
        <w:t xml:space="preserve">on </w:t>
      </w:r>
      <w:r>
        <w:t>offer.</w:t>
      </w:r>
    </w:p>
    <w:p w14:paraId="4BE710EB" w14:textId="77777777" w:rsidR="00903D42" w:rsidRPr="00A45662" w:rsidRDefault="008400C7" w:rsidP="00734C6C">
      <w:pPr>
        <w:pStyle w:val="BulletText"/>
      </w:pPr>
      <w:r w:rsidRPr="00A45662">
        <w:t xml:space="preserve">Applications are made through </w:t>
      </w:r>
      <w:r w:rsidR="0070632C">
        <w:t xml:space="preserve">a part of the UK’s </w:t>
      </w:r>
      <w:r w:rsidR="00B830D6">
        <w:t xml:space="preserve">Energy </w:t>
      </w:r>
      <w:r w:rsidR="0070632C">
        <w:t xml:space="preserve">Portal </w:t>
      </w:r>
      <w:r w:rsidR="003B5279" w:rsidRPr="00A45662">
        <w:t xml:space="preserve">called LARRY </w:t>
      </w:r>
      <w:r w:rsidR="00AE70E8" w:rsidRPr="00A45662">
        <w:t xml:space="preserve">(the </w:t>
      </w:r>
      <w:r w:rsidR="003B5279" w:rsidRPr="00A45662">
        <w:rPr>
          <w:b/>
        </w:rPr>
        <w:t>L</w:t>
      </w:r>
      <w:r w:rsidR="003B5279" w:rsidRPr="00A45662">
        <w:t xml:space="preserve">icence </w:t>
      </w:r>
      <w:r w:rsidR="003B5279" w:rsidRPr="00A45662">
        <w:rPr>
          <w:b/>
        </w:rPr>
        <w:t>A</w:t>
      </w:r>
      <w:r w:rsidR="003B5279" w:rsidRPr="00A45662">
        <w:t xml:space="preserve">pplications </w:t>
      </w:r>
      <w:r w:rsidR="003B5279" w:rsidRPr="00A45662">
        <w:rPr>
          <w:b/>
        </w:rPr>
        <w:t>R</w:t>
      </w:r>
      <w:r w:rsidR="003B5279" w:rsidRPr="00A45662">
        <w:t>eposito</w:t>
      </w:r>
      <w:r w:rsidR="003B5279" w:rsidRPr="00A45662">
        <w:rPr>
          <w:b/>
        </w:rPr>
        <w:t>ry</w:t>
      </w:r>
      <w:r w:rsidR="003B5279" w:rsidRPr="00A45662">
        <w:t xml:space="preserve">). </w:t>
      </w:r>
      <w:r w:rsidR="00EA217C" w:rsidRPr="00A45662">
        <w:t>Applicants will first need to get a Portal account, which is a quick and easy process. There is g</w:t>
      </w:r>
      <w:r w:rsidRPr="00A45662">
        <w:t>uidance</w:t>
      </w:r>
      <w:r w:rsidR="005012C0">
        <w:rPr>
          <w:rStyle w:val="FootnoteReference"/>
        </w:rPr>
        <w:footnoteReference w:id="3"/>
      </w:r>
      <w:r w:rsidRPr="00A45662">
        <w:t xml:space="preserve"> about gaining access to LARRY</w:t>
      </w:r>
      <w:r w:rsidR="00EA217C" w:rsidRPr="00A45662">
        <w:t xml:space="preserve"> </w:t>
      </w:r>
      <w:r w:rsidR="00A45662">
        <w:t>elsewhere on this website.</w:t>
      </w:r>
    </w:p>
    <w:p w14:paraId="4BE710EC" w14:textId="77777777" w:rsidR="003B5279" w:rsidRDefault="00232DA0" w:rsidP="00734C6C">
      <w:pPr>
        <w:pStyle w:val="BulletText"/>
      </w:pPr>
      <w:r>
        <w:t xml:space="preserve">There is an </w:t>
      </w:r>
      <w:hyperlink w:anchor="_Application_fee_1" w:history="1">
        <w:r w:rsidRPr="00F00364">
          <w:t>Application fee</w:t>
        </w:r>
      </w:hyperlink>
      <w:r>
        <w:t>.</w:t>
      </w:r>
    </w:p>
    <w:p w14:paraId="4BE710ED" w14:textId="550D6C9E" w:rsidR="003B5279" w:rsidRDefault="00B830D6" w:rsidP="00734C6C">
      <w:pPr>
        <w:pStyle w:val="BulletText"/>
      </w:pPr>
      <w:r>
        <w:t>The OGA</w:t>
      </w:r>
      <w:r w:rsidR="00C94B91">
        <w:t xml:space="preserve"> </w:t>
      </w:r>
      <w:r w:rsidR="00F202C1">
        <w:t>will only award a licence to an applicant that meets certain minimum financial, technical and other criteria, which depend in detail on the circumstances and the type of licence being applied for</w:t>
      </w:r>
      <w:r w:rsidR="0076460B">
        <w:t xml:space="preserve"> (see </w:t>
      </w:r>
      <w:hyperlink w:anchor="_The_applicant" w:history="1">
        <w:r w:rsidR="0076460B" w:rsidRPr="009F6940">
          <w:rPr>
            <w:rStyle w:val="Hyperlink"/>
          </w:rPr>
          <w:t>The Applicant</w:t>
        </w:r>
      </w:hyperlink>
      <w:r w:rsidR="0076460B">
        <w:t>)</w:t>
      </w:r>
      <w:r w:rsidR="00F202C1">
        <w:t>. Those a</w:t>
      </w:r>
      <w:r w:rsidR="00232DA0">
        <w:t xml:space="preserve">pplicants who </w:t>
      </w:r>
      <w:r w:rsidR="00F202C1">
        <w:t>m</w:t>
      </w:r>
      <w:r w:rsidR="000C42DE">
        <w:t>e</w:t>
      </w:r>
      <w:r w:rsidR="00F202C1">
        <w:t xml:space="preserve">et </w:t>
      </w:r>
      <w:r w:rsidR="00232DA0">
        <w:t xml:space="preserve">our criteria </w:t>
      </w:r>
      <w:r w:rsidR="00F202C1">
        <w:t>will be considered in competition with other applicants</w:t>
      </w:r>
      <w:r w:rsidR="000C747A">
        <w:t>.</w:t>
      </w:r>
      <w:r w:rsidR="00486AE6">
        <w:t xml:space="preserve"> </w:t>
      </w:r>
      <w:r w:rsidR="00F202C1">
        <w:t xml:space="preserve">The </w:t>
      </w:r>
      <w:r>
        <w:t>OGA</w:t>
      </w:r>
      <w:r w:rsidR="0070632C">
        <w:t xml:space="preserve"> </w:t>
      </w:r>
      <w:r w:rsidR="00232DA0">
        <w:t xml:space="preserve">usually </w:t>
      </w:r>
      <w:hyperlink w:anchor="_Interviews_1" w:history="1">
        <w:r w:rsidR="00232DA0" w:rsidRPr="00F00364">
          <w:t>interviews</w:t>
        </w:r>
      </w:hyperlink>
      <w:r w:rsidR="00232DA0">
        <w:t xml:space="preserve"> </w:t>
      </w:r>
      <w:r w:rsidR="00F202C1">
        <w:t xml:space="preserve">such </w:t>
      </w:r>
      <w:r w:rsidR="00232DA0">
        <w:t xml:space="preserve">applicants about their technical understanding of the acreage and the Work Programme offered (we always do so where there is competition for the same acreage). After interview, we mark each application against a </w:t>
      </w:r>
      <w:hyperlink w:anchor="_Annexe_2:_The" w:history="1">
        <w:r w:rsidR="00232DA0" w:rsidRPr="00F00364">
          <w:t>Marks Scheme</w:t>
        </w:r>
      </w:hyperlink>
      <w:r w:rsidR="00232DA0">
        <w:t xml:space="preserve">. </w:t>
      </w:r>
    </w:p>
    <w:p w14:paraId="4BE710EE" w14:textId="77777777" w:rsidR="003B5279" w:rsidRDefault="00B830D6" w:rsidP="0013292C">
      <w:pPr>
        <w:pStyle w:val="BulletText"/>
      </w:pPr>
      <w:r>
        <w:t>The OGA</w:t>
      </w:r>
      <w:r w:rsidR="003F63F5">
        <w:t xml:space="preserve"> </w:t>
      </w:r>
      <w:r w:rsidR="00232DA0">
        <w:t>has discretion</w:t>
      </w:r>
      <w:r w:rsidR="00732144">
        <w:fldChar w:fldCharType="begin"/>
      </w:r>
      <w:r w:rsidR="00232DA0">
        <w:instrText xml:space="preserve"> XE "</w:instrText>
      </w:r>
      <w:r>
        <w:instrText>The OGA</w:instrText>
      </w:r>
      <w:r w:rsidR="00232DA0">
        <w:instrText xml:space="preserve">'s discretion" </w:instrText>
      </w:r>
      <w:r w:rsidR="00732144">
        <w:fldChar w:fldCharType="end"/>
      </w:r>
      <w:r w:rsidR="00232DA0">
        <w:t xml:space="preserve"> in deciding </w:t>
      </w:r>
      <w:proofErr w:type="gramStart"/>
      <w:r w:rsidR="00232DA0">
        <w:t>whether or not</w:t>
      </w:r>
      <w:proofErr w:type="gramEnd"/>
      <w:r w:rsidR="00232DA0">
        <w:t xml:space="preserve"> to issue a licence</w:t>
      </w:r>
      <w:r w:rsidR="006E5927">
        <w:t xml:space="preserve"> (see “</w:t>
      </w:r>
      <w:hyperlink w:anchor="_How_decisions_are" w:history="1">
        <w:r w:rsidR="006E5927" w:rsidRPr="006E5927">
          <w:rPr>
            <w:rStyle w:val="Hyperlink"/>
          </w:rPr>
          <w:t>How decisions are reached</w:t>
        </w:r>
      </w:hyperlink>
      <w:r w:rsidR="006E5927">
        <w:t>”)</w:t>
      </w:r>
      <w:r w:rsidR="00232DA0">
        <w:t xml:space="preserve">; and if so, to whom and on what conditions. </w:t>
      </w:r>
      <w:r w:rsidR="0070632C">
        <w:t xml:space="preserve">Where there is competition for the same acreage, the award will </w:t>
      </w:r>
      <w:r w:rsidR="00F202C1">
        <w:t xml:space="preserve">generally </w:t>
      </w:r>
      <w:r w:rsidR="0070632C">
        <w:t xml:space="preserve">be </w:t>
      </w:r>
      <w:r w:rsidR="00794846">
        <w:t xml:space="preserve">that which </w:t>
      </w:r>
      <w:r w:rsidR="00F202C1">
        <w:t xml:space="preserve">the </w:t>
      </w:r>
      <w:r>
        <w:t>OGA</w:t>
      </w:r>
      <w:r w:rsidR="003F63F5">
        <w:t xml:space="preserve"> </w:t>
      </w:r>
      <w:r w:rsidR="00794846">
        <w:t>believes best serves the policy of maximising</w:t>
      </w:r>
      <w:r w:rsidR="006E5927">
        <w:t xml:space="preserve"> economic recovery of </w:t>
      </w:r>
      <w:r w:rsidR="00794846">
        <w:t>UK</w:t>
      </w:r>
      <w:r w:rsidR="006E5927">
        <w:t xml:space="preserve"> petroleum</w:t>
      </w:r>
      <w:r w:rsidR="00D83E62">
        <w:t>,</w:t>
      </w:r>
      <w:r w:rsidR="00C96BE5">
        <w:t xml:space="preserve"> </w:t>
      </w:r>
      <w:r w:rsidR="00D83E62">
        <w:t xml:space="preserve">subject </w:t>
      </w:r>
      <w:r w:rsidR="00D83E62">
        <w:lastRenderedPageBreak/>
        <w:t xml:space="preserve">to compliance with all relevant </w:t>
      </w:r>
      <w:r w:rsidR="00546548">
        <w:t>legal provisions</w:t>
      </w:r>
      <w:r w:rsidR="00794846">
        <w:t xml:space="preserve">. </w:t>
      </w:r>
      <w:proofErr w:type="gramStart"/>
      <w:r w:rsidR="00DB2CBC">
        <w:t>In particular, a</w:t>
      </w:r>
      <w:r w:rsidR="00DB2CBC" w:rsidRPr="00147F36">
        <w:t>ll</w:t>
      </w:r>
      <w:proofErr w:type="gramEnd"/>
      <w:r w:rsidR="00DB2CBC" w:rsidRPr="00147F36">
        <w:t xml:space="preserve"> applications will be determined in accordance with the terms of the Hydrocarbons Licensing Directive </w:t>
      </w:r>
      <w:r w:rsidR="00BC1BBD">
        <w:t>Regulations 1995 (1995/</w:t>
      </w:r>
      <w:r w:rsidR="00DB2CBC" w:rsidRPr="00147F36">
        <w:t>1434)</w:t>
      </w:r>
      <w:r w:rsidR="00DF087A">
        <w:rPr>
          <w:rStyle w:val="FootnoteReference"/>
        </w:rPr>
        <w:footnoteReference w:id="4"/>
      </w:r>
      <w:r w:rsidR="00DB2CBC" w:rsidRPr="00147F36">
        <w:t>, the Petroleum Licensing (Applications) Regulations 2015 (2015</w:t>
      </w:r>
      <w:r w:rsidR="00BC1BBD">
        <w:t>/</w:t>
      </w:r>
      <w:r w:rsidR="00DB2CBC" w:rsidRPr="00147F36">
        <w:t>766)</w:t>
      </w:r>
      <w:r w:rsidR="00F202C1">
        <w:t>, as amended</w:t>
      </w:r>
      <w:r w:rsidR="00DF087A">
        <w:rPr>
          <w:rStyle w:val="FootnoteReference"/>
        </w:rPr>
        <w:footnoteReference w:id="5"/>
      </w:r>
      <w:r w:rsidR="00F202C1">
        <w:t>,</w:t>
      </w:r>
      <w:r w:rsidR="00DB2CBC" w:rsidRPr="00147F36">
        <w:t xml:space="preserve"> and the Offshore Petroleum Licensing (Offshore Safety Direc</w:t>
      </w:r>
      <w:r w:rsidR="00BC1BBD">
        <w:t>tive) Regulations 2015 (2015/</w:t>
      </w:r>
      <w:r w:rsidR="00DB2CBC" w:rsidRPr="00147F36">
        <w:t>385)</w:t>
      </w:r>
      <w:r w:rsidR="00DF087A">
        <w:rPr>
          <w:rStyle w:val="FootnoteReference"/>
        </w:rPr>
        <w:footnoteReference w:id="6"/>
      </w:r>
      <w:r w:rsidR="00DB2CBC" w:rsidRPr="00147F36">
        <w:t xml:space="preserve">. </w:t>
      </w:r>
      <w:r w:rsidR="0013292C" w:rsidRPr="0013292C">
        <w:t>Fur</w:t>
      </w:r>
      <w:r w:rsidR="00E40917">
        <w:t xml:space="preserve">ther guidance </w:t>
      </w:r>
      <w:r w:rsidR="00546548">
        <w:t xml:space="preserve">about the </w:t>
      </w:r>
      <w:r w:rsidR="00546548" w:rsidRPr="00147F36">
        <w:t>Offshore Safety Direc</w:t>
      </w:r>
      <w:r w:rsidR="00546548">
        <w:t>tive</w:t>
      </w:r>
      <w:r w:rsidR="00546548" w:rsidRPr="0013292C">
        <w:t xml:space="preserve"> </w:t>
      </w:r>
      <w:r w:rsidR="0013292C" w:rsidRPr="0013292C">
        <w:t xml:space="preserve">can be found </w:t>
      </w:r>
      <w:r w:rsidR="00FC0D1F">
        <w:t>on the HSE website</w:t>
      </w:r>
      <w:r w:rsidR="00FC0D1F">
        <w:rPr>
          <w:rStyle w:val="FootnoteReference"/>
        </w:rPr>
        <w:footnoteReference w:id="7"/>
      </w:r>
      <w:r w:rsidR="0013292C" w:rsidRPr="0013292C">
        <w:t>.</w:t>
      </w:r>
      <w:r w:rsidR="00E40917">
        <w:t xml:space="preserve"> </w:t>
      </w:r>
      <w:r w:rsidR="00794846">
        <w:t xml:space="preserve">The mark </w:t>
      </w:r>
      <w:r w:rsidR="0070632C">
        <w:t xml:space="preserve">awarded after interview is </w:t>
      </w:r>
      <w:r w:rsidR="00794846">
        <w:t xml:space="preserve">an important factor in </w:t>
      </w:r>
      <w:r w:rsidR="0013292C">
        <w:t xml:space="preserve">determining applications </w:t>
      </w:r>
      <w:r w:rsidR="00794846">
        <w:t xml:space="preserve">but it may not be the only one </w:t>
      </w:r>
      <w:r w:rsidR="00232DA0">
        <w:t xml:space="preserve">(see </w:t>
      </w:r>
      <w:hyperlink w:anchor="_How_decisions_are_1" w:history="1">
        <w:r w:rsidR="00232DA0" w:rsidRPr="00A45662">
          <w:rPr>
            <w:color w:val="0070C0"/>
            <w:u w:val="single"/>
          </w:rPr>
          <w:t>How decisions are reached</w:t>
        </w:r>
      </w:hyperlink>
      <w:r w:rsidR="00232DA0">
        <w:t>).</w:t>
      </w:r>
    </w:p>
    <w:p w14:paraId="4BE710EF" w14:textId="77777777" w:rsidR="00232DA0" w:rsidRDefault="00232DA0">
      <w:pPr>
        <w:pStyle w:val="Heading3"/>
      </w:pPr>
      <w:bookmarkStart w:id="1" w:name="_Toc379982298"/>
      <w:bookmarkStart w:id="2" w:name="_Toc484787678"/>
      <w:r>
        <w:t>Type and term of licence</w:t>
      </w:r>
      <w:bookmarkEnd w:id="1"/>
      <w:bookmarkEnd w:id="2"/>
    </w:p>
    <w:p w14:paraId="4BE710F0" w14:textId="77777777" w:rsidR="00794846" w:rsidRDefault="00232DA0">
      <w:pPr>
        <w:pStyle w:val="IntroPara"/>
      </w:pPr>
      <w:proofErr w:type="gramStart"/>
      <w:r>
        <w:t>In spite of</w:t>
      </w:r>
      <w:proofErr w:type="gramEnd"/>
      <w:r>
        <w:t xml:space="preserve"> their name, Production Licences cover exploration, appraisal and production.</w:t>
      </w:r>
      <w:r w:rsidR="00A80681">
        <w:t xml:space="preserve"> </w:t>
      </w:r>
      <w:r w:rsidR="00794846">
        <w:t>There are separate types of Production Licence</w:t>
      </w:r>
      <w:r w:rsidR="00DC76DD">
        <w:t xml:space="preserve"> for the onshore and offshore provinces</w:t>
      </w:r>
      <w:r>
        <w:t xml:space="preserve">. </w:t>
      </w:r>
    </w:p>
    <w:p w14:paraId="4BE710F1" w14:textId="5ADFCF67" w:rsidR="00240E7A" w:rsidRDefault="00240E7A">
      <w:pPr>
        <w:pStyle w:val="IntroPara"/>
      </w:pPr>
      <w:r>
        <w:t xml:space="preserve">The acreage to be offered in individual Rounds will be </w:t>
      </w:r>
      <w:r w:rsidR="000C42DE">
        <w:t>specified</w:t>
      </w:r>
      <w:r>
        <w:t xml:space="preserve"> in Maps and lists of Blocks </w:t>
      </w:r>
      <w:r w:rsidR="000C42DE">
        <w:t xml:space="preserve">published at </w:t>
      </w:r>
      <w:r>
        <w:t xml:space="preserve">the opening of each </w:t>
      </w:r>
      <w:proofErr w:type="gramStart"/>
      <w:r>
        <w:t>particular Round</w:t>
      </w:r>
      <w:proofErr w:type="gramEnd"/>
      <w:r>
        <w:t>.</w:t>
      </w:r>
    </w:p>
    <w:p w14:paraId="4BE710F2" w14:textId="77777777" w:rsidR="002342D2" w:rsidRDefault="0076460B" w:rsidP="00734C6C">
      <w:pPr>
        <w:pStyle w:val="BulletText"/>
      </w:pPr>
      <w:proofErr w:type="gramStart"/>
      <w:r>
        <w:t>In spite of</w:t>
      </w:r>
      <w:proofErr w:type="gramEnd"/>
      <w:r>
        <w:t xml:space="preserve"> their name, </w:t>
      </w:r>
      <w:r w:rsidR="00232DA0">
        <w:t xml:space="preserve">Production Licences cover exploration and appraisal as well as production. </w:t>
      </w:r>
      <w:r w:rsidR="002342D2">
        <w:t xml:space="preserve"> </w:t>
      </w:r>
    </w:p>
    <w:p w14:paraId="4BE710F3" w14:textId="37EAFC3E" w:rsidR="003B5279" w:rsidRDefault="00232DA0" w:rsidP="00734C6C">
      <w:pPr>
        <w:pStyle w:val="BulletText"/>
      </w:pPr>
      <w:r>
        <w:t xml:space="preserve">There are </w:t>
      </w:r>
      <w:r w:rsidR="00EC464A">
        <w:t xml:space="preserve">two </w:t>
      </w:r>
      <w:r>
        <w:t>types</w:t>
      </w:r>
      <w:r w:rsidR="00732144">
        <w:fldChar w:fldCharType="begin"/>
      </w:r>
      <w:r w:rsidR="001C5616">
        <w:instrText xml:space="preserve"> XE "</w:instrText>
      </w:r>
      <w:r w:rsidR="001C5616" w:rsidRPr="008F353D">
        <w:instrText>Licence types</w:instrText>
      </w:r>
      <w:r w:rsidR="001C5616">
        <w:instrText xml:space="preserve">" </w:instrText>
      </w:r>
      <w:r w:rsidR="00732144">
        <w:fldChar w:fldCharType="end"/>
      </w:r>
      <w:r>
        <w:t xml:space="preserve"> of Production Licence</w:t>
      </w:r>
      <w:r w:rsidR="002342D2">
        <w:t>, described more fully elsewhere on the</w:t>
      </w:r>
      <w:r w:rsidR="000B2AF7">
        <w:t xml:space="preserve"> OGA </w:t>
      </w:r>
      <w:r w:rsidR="002342D2">
        <w:t>website</w:t>
      </w:r>
      <w:r w:rsidR="002342D2">
        <w:rPr>
          <w:rStyle w:val="FootnoteReference"/>
        </w:rPr>
        <w:footnoteReference w:id="8"/>
      </w:r>
      <w:r w:rsidR="002342D2">
        <w:t xml:space="preserve"> and in the Technical Guidance</w:t>
      </w:r>
      <w:r w:rsidR="002342D2" w:rsidRPr="0084783C">
        <w:t xml:space="preserve"> </w:t>
      </w:r>
      <w:r w:rsidR="002342D2">
        <w:t>document</w:t>
      </w:r>
      <w:r w:rsidR="002342D2">
        <w:rPr>
          <w:rStyle w:val="FootnoteReference"/>
        </w:rPr>
        <w:footnoteReference w:id="9"/>
      </w:r>
      <w:r w:rsidR="008A56C4">
        <w:t>.</w:t>
      </w:r>
    </w:p>
    <w:p w14:paraId="4BE710F4" w14:textId="77A1419B" w:rsidR="00764BDF" w:rsidRDefault="00DB4A44" w:rsidP="00495918">
      <w:pPr>
        <w:pStyle w:val="BulletText"/>
        <w:numPr>
          <w:ilvl w:val="1"/>
          <w:numId w:val="2"/>
        </w:numPr>
      </w:pPr>
      <w:r>
        <w:t>t</w:t>
      </w:r>
      <w:r w:rsidR="00764BDF">
        <w:t xml:space="preserve">he </w:t>
      </w:r>
      <w:r w:rsidR="00EC464A">
        <w:t xml:space="preserve">Seaward </w:t>
      </w:r>
      <w:r w:rsidR="00095DF1">
        <w:t>“</w:t>
      </w:r>
      <w:r w:rsidR="00EC464A">
        <w:t>Innovate</w:t>
      </w:r>
      <w:r w:rsidR="00E950C7">
        <w:fldChar w:fldCharType="begin"/>
      </w:r>
      <w:r w:rsidR="00E950C7">
        <w:instrText xml:space="preserve"> XE "</w:instrText>
      </w:r>
      <w:r w:rsidR="00E950C7" w:rsidRPr="00142FC9">
        <w:instrText>Innovate</w:instrText>
      </w:r>
      <w:r w:rsidR="00E950C7">
        <w:instrText xml:space="preserve">" </w:instrText>
      </w:r>
      <w:r w:rsidR="00E950C7">
        <w:fldChar w:fldCharType="end"/>
      </w:r>
      <w:r w:rsidR="00095DF1">
        <w:t>”</w:t>
      </w:r>
      <w:r w:rsidR="00764BDF">
        <w:t xml:space="preserve"> Production Licence;</w:t>
      </w:r>
      <w:r w:rsidR="00336A4F">
        <w:t xml:space="preserve"> and</w:t>
      </w:r>
    </w:p>
    <w:p w14:paraId="4BE710F5" w14:textId="77777777" w:rsidR="00764BDF" w:rsidRDefault="00DB4A44" w:rsidP="00495918">
      <w:pPr>
        <w:pStyle w:val="BulletText"/>
        <w:numPr>
          <w:ilvl w:val="1"/>
          <w:numId w:val="2"/>
        </w:numPr>
      </w:pPr>
      <w:r>
        <w:t>t</w:t>
      </w:r>
      <w:r w:rsidR="00764BDF">
        <w:t>he Landward Production Licence</w:t>
      </w:r>
      <w:r w:rsidR="00732144">
        <w:fldChar w:fldCharType="begin"/>
      </w:r>
      <w:r w:rsidR="00764BDF">
        <w:instrText xml:space="preserve"> XE "Landward Licences" </w:instrText>
      </w:r>
      <w:r w:rsidR="00732144">
        <w:fldChar w:fldCharType="end"/>
      </w:r>
      <w:r w:rsidR="00732144">
        <w:fldChar w:fldCharType="begin"/>
      </w:r>
      <w:r w:rsidR="00764BDF">
        <w:instrText xml:space="preserve"> XE "PEDLs" </w:instrText>
      </w:r>
      <w:r w:rsidR="00732144">
        <w:fldChar w:fldCharType="end"/>
      </w:r>
      <w:r w:rsidR="00764BDF">
        <w:t xml:space="preserve"> (</w:t>
      </w:r>
      <w:r>
        <w:t xml:space="preserve">formally </w:t>
      </w:r>
      <w:r w:rsidR="00764BDF">
        <w:t>called the Petroleum Exploration and Development Licence).</w:t>
      </w:r>
    </w:p>
    <w:p w14:paraId="4BE710F6" w14:textId="77777777" w:rsidR="003B5279" w:rsidRDefault="00232DA0" w:rsidP="00734C6C">
      <w:pPr>
        <w:pStyle w:val="BulletText"/>
      </w:pPr>
      <w:r>
        <w:t xml:space="preserve">The </w:t>
      </w:r>
      <w:r w:rsidRPr="00F00364">
        <w:t xml:space="preserve">terms and conditions </w:t>
      </w:r>
      <w:r>
        <w:t xml:space="preserve">of the </w:t>
      </w:r>
      <w:r w:rsidR="00DB4A44">
        <w:t>l</w:t>
      </w:r>
      <w:r>
        <w:t xml:space="preserve">icences on offer </w:t>
      </w:r>
      <w:r w:rsidR="00D8421A">
        <w:t xml:space="preserve">(“Model Clauses”) </w:t>
      </w:r>
      <w:r w:rsidR="00B47DA1">
        <w:t xml:space="preserve">are set out </w:t>
      </w:r>
      <w:r>
        <w:t xml:space="preserve">in </w:t>
      </w:r>
      <w:r w:rsidR="00B47DA1">
        <w:t xml:space="preserve">Regulations, though </w:t>
      </w:r>
      <w:r w:rsidR="00546548">
        <w:t xml:space="preserve">the </w:t>
      </w:r>
      <w:r w:rsidR="00B830D6">
        <w:t>OGA</w:t>
      </w:r>
      <w:r w:rsidR="00DE1A11">
        <w:t xml:space="preserve"> </w:t>
      </w:r>
      <w:r w:rsidR="00546548">
        <w:t xml:space="preserve">may </w:t>
      </w:r>
      <w:r w:rsidR="00B47DA1">
        <w:t xml:space="preserve">offer licences on modified terms </w:t>
      </w:r>
      <w:proofErr w:type="gramStart"/>
      <w:r w:rsidR="00B47DA1">
        <w:t>in particular cases</w:t>
      </w:r>
      <w:proofErr w:type="gramEnd"/>
      <w:r w:rsidR="00B47DA1">
        <w:t>. For</w:t>
      </w:r>
      <w:r w:rsidR="00DB4A44" w:rsidRPr="00DB4A44">
        <w:t xml:space="preserve"> </w:t>
      </w:r>
      <w:r w:rsidR="00DB4A44">
        <w:t>Petroleum Exploration and Development Licences</w:t>
      </w:r>
      <w:r w:rsidR="00B47DA1">
        <w:t xml:space="preserve">, </w:t>
      </w:r>
      <w:r w:rsidR="00D8421A">
        <w:t xml:space="preserve">the Model Clauses are </w:t>
      </w:r>
      <w:r w:rsidR="00DB4A44">
        <w:t xml:space="preserve">set out </w:t>
      </w:r>
      <w:r w:rsidR="00D8421A">
        <w:t xml:space="preserve">in </w:t>
      </w:r>
      <w:r w:rsidR="00B47DA1">
        <w:t xml:space="preserve">the </w:t>
      </w:r>
      <w:r w:rsidR="00B47DA1" w:rsidRPr="00B47DA1">
        <w:t>Petroleum Licensing (Exploration and Production) (Landward Areas) Regulations 20</w:t>
      </w:r>
      <w:r w:rsidR="00D8421A">
        <w:t>1</w:t>
      </w:r>
      <w:r w:rsidR="00B47DA1" w:rsidRPr="00B47DA1">
        <w:t>4</w:t>
      </w:r>
      <w:r w:rsidR="00B47DA1">
        <w:t xml:space="preserve"> (</w:t>
      </w:r>
      <w:r w:rsidR="00BC1BBD">
        <w:t>2014/</w:t>
      </w:r>
      <w:r w:rsidR="00D8421A">
        <w:t>1686</w:t>
      </w:r>
      <w:r w:rsidR="00B47DA1">
        <w:t>)</w:t>
      </w:r>
      <w:r w:rsidR="002E4EB7">
        <w:rPr>
          <w:rStyle w:val="FootnoteReference"/>
        </w:rPr>
        <w:footnoteReference w:id="10"/>
      </w:r>
      <w:r w:rsidR="00B47DA1">
        <w:t xml:space="preserve"> and for </w:t>
      </w:r>
      <w:r w:rsidR="00F76B5E">
        <w:t>S</w:t>
      </w:r>
      <w:r w:rsidR="00B47DA1">
        <w:t xml:space="preserve">eaward </w:t>
      </w:r>
      <w:r w:rsidR="00F76B5E">
        <w:t>Production L</w:t>
      </w:r>
      <w:r w:rsidR="00B47DA1">
        <w:t xml:space="preserve">icences, </w:t>
      </w:r>
      <w:r w:rsidR="00116C0E">
        <w:t xml:space="preserve">they are in </w:t>
      </w:r>
      <w:r w:rsidR="00B47DA1">
        <w:t xml:space="preserve">the </w:t>
      </w:r>
      <w:hyperlink r:id="rId16" w:history="1">
        <w:r w:rsidR="001C5616" w:rsidRPr="00F00364">
          <w:t>Petroleum Licensing (Production) (Seaward Areas) Regulations 2008 (2008</w:t>
        </w:r>
        <w:r w:rsidR="00BC1BBD">
          <w:t>/225</w:t>
        </w:r>
        <w:r w:rsidR="001C5616" w:rsidRPr="00F00364">
          <w:t>)</w:t>
        </w:r>
      </w:hyperlink>
      <w:r w:rsidR="002E4EB7">
        <w:rPr>
          <w:rStyle w:val="FootnoteReference"/>
        </w:rPr>
        <w:footnoteReference w:id="11"/>
      </w:r>
      <w:r w:rsidR="00D8421A">
        <w:t>, as amended</w:t>
      </w:r>
      <w:r w:rsidR="00B47DA1">
        <w:t xml:space="preserve">. </w:t>
      </w:r>
    </w:p>
    <w:p w14:paraId="4BE710F7" w14:textId="77777777" w:rsidR="003B5279" w:rsidRDefault="00232DA0" w:rsidP="00734C6C">
      <w:pPr>
        <w:pStyle w:val="BulletText"/>
      </w:pPr>
      <w:r>
        <w:t>The rentals schedules f</w:t>
      </w:r>
      <w:r w:rsidR="0089139F">
        <w:t>or</w:t>
      </w:r>
      <w:r>
        <w:t xml:space="preserve"> each type of licence are attached at </w:t>
      </w:r>
      <w:hyperlink w:anchor="_Annexe_1:_Rentals" w:history="1">
        <w:r w:rsidRPr="00F00364">
          <w:t xml:space="preserve">Annexe </w:t>
        </w:r>
      </w:hyperlink>
      <w:r w:rsidR="008F0181">
        <w:t>1</w:t>
      </w:r>
      <w:r>
        <w:t>.</w:t>
      </w:r>
    </w:p>
    <w:p w14:paraId="4BE710F8" w14:textId="77777777" w:rsidR="003B5279" w:rsidRDefault="00232DA0" w:rsidP="00734C6C">
      <w:pPr>
        <w:pStyle w:val="BulletText"/>
      </w:pPr>
      <w:r>
        <w:t>Where a licence is held by more than one company, each one bears full joint-and-several liability</w:t>
      </w:r>
      <w:r w:rsidR="00732144">
        <w:fldChar w:fldCharType="begin"/>
      </w:r>
      <w:r w:rsidR="002D0E34">
        <w:instrText xml:space="preserve"> XE "</w:instrText>
      </w:r>
      <w:r w:rsidR="002D0E34" w:rsidRPr="00731975">
        <w:instrText>Joint-and-several liability</w:instrText>
      </w:r>
      <w:r w:rsidR="002D0E34">
        <w:instrText xml:space="preserve">" </w:instrText>
      </w:r>
      <w:r w:rsidR="00732144">
        <w:fldChar w:fldCharType="end"/>
      </w:r>
      <w:r>
        <w:t xml:space="preserve"> to </w:t>
      </w:r>
      <w:r w:rsidR="00546548">
        <w:t xml:space="preserve">the </w:t>
      </w:r>
      <w:r w:rsidR="00B830D6">
        <w:t>OGA</w:t>
      </w:r>
      <w:r>
        <w:t>.</w:t>
      </w:r>
    </w:p>
    <w:p w14:paraId="4BE710F9" w14:textId="77777777" w:rsidR="003B5279" w:rsidRDefault="00232DA0" w:rsidP="00734C6C">
      <w:pPr>
        <w:pStyle w:val="BulletText"/>
      </w:pPr>
      <w:r>
        <w:t>Companies who only wish to carry out seismic surveys and not to drill</w:t>
      </w:r>
      <w:r w:rsidR="00DB4A44">
        <w:t>, and who do not require exclusive rights,</w:t>
      </w:r>
      <w:r>
        <w:t xml:space="preserve"> might consider applying for an </w:t>
      </w:r>
      <w:hyperlink r:id="rId17" w:history="1">
        <w:r w:rsidRPr="00F00364">
          <w:t>Exploration Licence</w:t>
        </w:r>
      </w:hyperlink>
      <w:r w:rsidR="002E4EB7">
        <w:rPr>
          <w:rStyle w:val="FootnoteReference"/>
        </w:rPr>
        <w:footnoteReference w:id="12"/>
      </w:r>
      <w:r>
        <w:t xml:space="preserve">. </w:t>
      </w:r>
      <w:r w:rsidR="00DB4A44">
        <w:t xml:space="preserve">There are separate </w:t>
      </w:r>
      <w:r w:rsidR="007A7D1B">
        <w:t>Exploration L</w:t>
      </w:r>
      <w:r w:rsidR="00DB4A44">
        <w:t>icence types for the landward and seaward areas. E</w:t>
      </w:r>
      <w:r>
        <w:t xml:space="preserve">ach one covers the entire </w:t>
      </w:r>
      <w:r w:rsidR="00DB4A44">
        <w:t xml:space="preserve">seaward/landward area </w:t>
      </w:r>
      <w:r>
        <w:t>(</w:t>
      </w:r>
      <w:r w:rsidR="00DB4A44">
        <w:t xml:space="preserve">but needs the licensee’s permission to be </w:t>
      </w:r>
      <w:r w:rsidR="00DB4A44">
        <w:lastRenderedPageBreak/>
        <w:t xml:space="preserve">used in </w:t>
      </w:r>
      <w:r>
        <w:t xml:space="preserve">the area covered by </w:t>
      </w:r>
      <w:r w:rsidR="00DB4A44">
        <w:t xml:space="preserve">a </w:t>
      </w:r>
      <w:r>
        <w:t>Production Licence)</w:t>
      </w:r>
      <w:r w:rsidR="001700D4">
        <w:t xml:space="preserve">, and is </w:t>
      </w:r>
      <w:r>
        <w:t>cheaper and simpler to get</w:t>
      </w:r>
      <w:r w:rsidR="001700D4">
        <w:t xml:space="preserve"> than a Production Licence</w:t>
      </w:r>
      <w:r>
        <w:t>.</w:t>
      </w:r>
    </w:p>
    <w:p w14:paraId="4BE710FA" w14:textId="77777777" w:rsidR="00232DA0" w:rsidRDefault="00107030">
      <w:pPr>
        <w:pStyle w:val="Heading3"/>
      </w:pPr>
      <w:bookmarkStart w:id="3" w:name="_The_applicant"/>
      <w:bookmarkStart w:id="4" w:name="_Toc484787679"/>
      <w:bookmarkEnd w:id="3"/>
      <w:r>
        <w:t xml:space="preserve">The </w:t>
      </w:r>
      <w:r w:rsidR="003B172B">
        <w:t>applicant</w:t>
      </w:r>
      <w:bookmarkEnd w:id="4"/>
      <w:r w:rsidR="00732144">
        <w:fldChar w:fldCharType="begin"/>
      </w:r>
      <w:r w:rsidR="00232DA0">
        <w:instrText xml:space="preserve"> XE "Applicant" </w:instrText>
      </w:r>
      <w:r w:rsidR="00732144">
        <w:fldChar w:fldCharType="end"/>
      </w:r>
    </w:p>
    <w:p w14:paraId="4BE710FB" w14:textId="77777777" w:rsidR="00232DA0" w:rsidRDefault="00232DA0">
      <w:pPr>
        <w:pStyle w:val="IntroPara"/>
      </w:pPr>
      <w:r>
        <w:t>An application can come from a single company or from a group of companies. The companies may be either British or foreign, but there are minimum residence requirements.</w:t>
      </w:r>
    </w:p>
    <w:p w14:paraId="4BE710FC" w14:textId="77777777" w:rsidR="00232DA0" w:rsidRDefault="00DC76DD" w:rsidP="00546548">
      <w:pPr>
        <w:pStyle w:val="IntroPara"/>
      </w:pPr>
      <w:r>
        <w:t>All applicants must demonstrate financial viability.</w:t>
      </w:r>
      <w:r w:rsidR="00546548">
        <w:t xml:space="preserve"> Some may have to </w:t>
      </w:r>
      <w:r w:rsidR="007F65C9">
        <w:t xml:space="preserve">demonstrate </w:t>
      </w:r>
      <w:r>
        <w:t xml:space="preserve">financial </w:t>
      </w:r>
      <w:r w:rsidR="007F65C9">
        <w:t xml:space="preserve">capacity and competence at the time of </w:t>
      </w:r>
      <w:r>
        <w:t>a</w:t>
      </w:r>
      <w:r w:rsidR="007F65C9">
        <w:t>pplication.</w:t>
      </w:r>
      <w:r w:rsidR="00232DA0">
        <w:t xml:space="preserve"> </w:t>
      </w:r>
    </w:p>
    <w:p w14:paraId="4BE710FD" w14:textId="77777777" w:rsidR="0068325A" w:rsidRDefault="00232DA0" w:rsidP="00734C6C">
      <w:pPr>
        <w:pStyle w:val="BulletText"/>
      </w:pPr>
      <w:r>
        <w:t>An application may be made by a single company, or by a group of companies.</w:t>
      </w:r>
      <w:r w:rsidR="003B5279">
        <w:t xml:space="preserve"> </w:t>
      </w:r>
    </w:p>
    <w:p w14:paraId="4BE710FE" w14:textId="77777777" w:rsidR="009F4520" w:rsidRDefault="00AD4CF0" w:rsidP="00734C6C">
      <w:pPr>
        <w:pStyle w:val="BulletText"/>
      </w:pPr>
      <w:r>
        <w:t xml:space="preserve">The applicant (and each individual party to an application) must meet certain criteria, depending on the type of licence being applied for. </w:t>
      </w:r>
    </w:p>
    <w:p w14:paraId="4BE710FF" w14:textId="77777777" w:rsidR="00C12491" w:rsidRDefault="00AD4CF0" w:rsidP="00734C6C">
      <w:pPr>
        <w:pStyle w:val="BulletText"/>
      </w:pPr>
      <w:r>
        <w:t>All applicants must demonstrate financial viability</w:t>
      </w:r>
      <w:r w:rsidR="001B272F" w:rsidRPr="00700978">
        <w:rPr>
          <w:vertAlign w:val="superscript"/>
        </w:rPr>
        <w:footnoteReference w:id="13"/>
      </w:r>
      <w:r>
        <w:t xml:space="preserve">. </w:t>
      </w:r>
    </w:p>
    <w:p w14:paraId="4BE71100" w14:textId="77777777" w:rsidR="00AD4CF0" w:rsidRDefault="00AD4CF0" w:rsidP="00734C6C">
      <w:pPr>
        <w:pStyle w:val="BulletText"/>
      </w:pPr>
      <w:r>
        <w:t xml:space="preserve">In addition: </w:t>
      </w:r>
    </w:p>
    <w:p w14:paraId="4BE71101" w14:textId="2D433C3B" w:rsidR="00C12491" w:rsidRDefault="00C12491" w:rsidP="009F4520">
      <w:pPr>
        <w:pStyle w:val="BulletText"/>
        <w:numPr>
          <w:ilvl w:val="1"/>
          <w:numId w:val="2"/>
        </w:numPr>
      </w:pPr>
      <w:r>
        <w:t>An applicant for an Innovate</w:t>
      </w:r>
      <w:r w:rsidR="00E950C7">
        <w:fldChar w:fldCharType="begin"/>
      </w:r>
      <w:r w:rsidR="00E950C7">
        <w:instrText xml:space="preserve"> XE "</w:instrText>
      </w:r>
      <w:r w:rsidR="00E950C7" w:rsidRPr="005E50F6">
        <w:instrText>Innovate</w:instrText>
      </w:r>
      <w:r w:rsidR="00E950C7">
        <w:instrText xml:space="preserve">" </w:instrText>
      </w:r>
      <w:r w:rsidR="00E950C7">
        <w:fldChar w:fldCharType="end"/>
      </w:r>
      <w:r>
        <w:t xml:space="preserve"> Seaward Licence with a Phase A and/or a Phase B must satisfy BEIS and HSE that the award would be compliant with the Offshore Safety Directive Regulations.</w:t>
      </w:r>
    </w:p>
    <w:p w14:paraId="4BE71102" w14:textId="77777777" w:rsidR="00C12491" w:rsidRDefault="00C12491" w:rsidP="009F4520">
      <w:pPr>
        <w:pStyle w:val="BulletText"/>
        <w:numPr>
          <w:ilvl w:val="1"/>
          <w:numId w:val="2"/>
        </w:numPr>
      </w:pPr>
      <w:r>
        <w:t>An applicant for an Innovate Seaward Licence with neither a Phase A nor a Phase B must satisfy the OGA of its financial capacity and operator competence, and BEIS and HSE that the award would be compliant with the Offshore Safety Directive Regulations.</w:t>
      </w:r>
    </w:p>
    <w:p w14:paraId="4BE71103" w14:textId="77777777" w:rsidR="00C12491" w:rsidRDefault="00C12491" w:rsidP="009F4520">
      <w:pPr>
        <w:pStyle w:val="BulletText"/>
        <w:numPr>
          <w:ilvl w:val="1"/>
          <w:numId w:val="2"/>
        </w:numPr>
      </w:pPr>
      <w:r>
        <w:t>An applicant for a Landward Licence must demonstrate financial capacity and operator competence.</w:t>
      </w:r>
    </w:p>
    <w:p w14:paraId="4BE71104" w14:textId="77777777" w:rsidR="000E4CE0" w:rsidRDefault="000E4CE0" w:rsidP="000E4CE0">
      <w:pPr>
        <w:pStyle w:val="BulletText"/>
      </w:pPr>
      <w:r w:rsidRPr="00734C6C">
        <w:t xml:space="preserve">A single application can be made for any amount of acreage, provided that </w:t>
      </w:r>
      <w:r w:rsidRPr="00734C6C">
        <w:fldChar w:fldCharType="begin"/>
      </w:r>
      <w:r w:rsidRPr="00734C6C">
        <w:instrText xml:space="preserve"> XE "Application:</w:instrText>
      </w:r>
      <w:r>
        <w:instrText xml:space="preserve"> </w:instrText>
      </w:r>
      <w:r w:rsidRPr="00734C6C">
        <w:instrText xml:space="preserve">limits to" </w:instrText>
      </w:r>
      <w:r w:rsidRPr="00734C6C">
        <w:fldChar w:fldCharType="end"/>
      </w:r>
      <w:r w:rsidRPr="00734C6C">
        <w:t>the list of companies, their proposed equity interests, and (where appropriate) the operator are the same throughout. The fact that geographically</w:t>
      </w:r>
      <w:r>
        <w:t>-</w:t>
      </w:r>
      <w:r w:rsidRPr="00734C6C">
        <w:t>separate areas would not be covered by a single licence does not mean they cannot be combined on the same application</w:t>
      </w:r>
      <w:r>
        <w:t>; which may save an applicant several application fees</w:t>
      </w:r>
      <w:r w:rsidRPr="00734C6C">
        <w:t>.</w:t>
      </w:r>
      <w:r>
        <w:t xml:space="preserve"> </w:t>
      </w:r>
      <w:r w:rsidRPr="008A56C4">
        <w:t>However, a single application cannot combine applications for licences of different categories as set out in the previous paragraph.</w:t>
      </w:r>
    </w:p>
    <w:p w14:paraId="4BE71105" w14:textId="77777777" w:rsidR="001B272F" w:rsidRDefault="00C12491" w:rsidP="009F4520">
      <w:pPr>
        <w:pStyle w:val="BulletText"/>
      </w:pPr>
      <w:r>
        <w:t>In this section</w:t>
      </w:r>
      <w:r w:rsidR="000E4CE0">
        <w:t>:</w:t>
      </w:r>
    </w:p>
    <w:p w14:paraId="4BE71106" w14:textId="55D1F277" w:rsidR="009F4520" w:rsidRDefault="009F4520" w:rsidP="001B272F">
      <w:pPr>
        <w:pStyle w:val="BulletText"/>
        <w:numPr>
          <w:ilvl w:val="1"/>
          <w:numId w:val="2"/>
        </w:numPr>
      </w:pPr>
      <w:r>
        <w:t>“</w:t>
      </w:r>
      <w:r w:rsidR="00C12491">
        <w:t>financial capacity</w:t>
      </w:r>
      <w:r>
        <w:t>”</w:t>
      </w:r>
      <w:r w:rsidR="001B272F" w:rsidRPr="00700978">
        <w:rPr>
          <w:vertAlign w:val="superscript"/>
        </w:rPr>
        <w:footnoteReference w:id="14"/>
      </w:r>
      <w:r w:rsidR="001B272F" w:rsidRPr="001B272F">
        <w:rPr>
          <w:vertAlign w:val="superscript"/>
        </w:rPr>
        <w:t xml:space="preserve"> </w:t>
      </w:r>
      <w:r w:rsidR="00C12491">
        <w:t xml:space="preserve">means </w:t>
      </w:r>
      <w:r>
        <w:t>the capacity to fund the Work Programme (in the case of a Phase C-only Work Programme or a Landward Licence</w:t>
      </w:r>
      <w:r w:rsidR="000C42DE">
        <w:t>)</w:t>
      </w:r>
      <w:r>
        <w:t xml:space="preserve"> or the proposed (re)development </w:t>
      </w:r>
      <w:r w:rsidRPr="009F4520">
        <w:t xml:space="preserve">(in the case of a </w:t>
      </w:r>
      <w:r>
        <w:t>Straight-to-Second-Term Licence). It must be clearly available to the applicant at the time of application, and not be subject to uncertain future events like share issues</w:t>
      </w:r>
      <w:r w:rsidR="001B272F">
        <w:t>; and</w:t>
      </w:r>
    </w:p>
    <w:p w14:paraId="4BE71107" w14:textId="394BEFF2" w:rsidR="00AD4CF0" w:rsidRDefault="001B272F" w:rsidP="001B272F">
      <w:pPr>
        <w:pStyle w:val="BulletText"/>
        <w:numPr>
          <w:ilvl w:val="1"/>
          <w:numId w:val="2"/>
        </w:numPr>
      </w:pPr>
      <w:r>
        <w:t>“operator competence”</w:t>
      </w:r>
      <w:r w:rsidRPr="006C4A9A">
        <w:rPr>
          <w:vertAlign w:val="superscript"/>
        </w:rPr>
        <w:footnoteReference w:id="15"/>
      </w:r>
      <w:r>
        <w:t xml:space="preserve"> means </w:t>
      </w:r>
      <w:r w:rsidR="00AD4CF0">
        <w:t xml:space="preserve">the competence to </w:t>
      </w:r>
      <w:r w:rsidR="00AD4CF0" w:rsidRPr="00A7373C">
        <w:t xml:space="preserve">carry out </w:t>
      </w:r>
      <w:r w:rsidR="002517FC">
        <w:t xml:space="preserve">in accordance with the principles of MERUK </w:t>
      </w:r>
      <w:r w:rsidR="00AD4CF0" w:rsidRPr="00A7373C">
        <w:t>the activities that would be permitted under the licence during the Initial Term</w:t>
      </w:r>
      <w:r>
        <w:t xml:space="preserve"> or Second Term in </w:t>
      </w:r>
      <w:r w:rsidRPr="009F4520">
        <w:t xml:space="preserve">the case of a </w:t>
      </w:r>
      <w:r>
        <w:t>Straight-to-Second-Term Licence.</w:t>
      </w:r>
    </w:p>
    <w:p w14:paraId="4BE71108" w14:textId="434DB9C4" w:rsidR="002E4EB7" w:rsidRDefault="000C42DE" w:rsidP="00734C6C">
      <w:pPr>
        <w:pStyle w:val="BulletText"/>
      </w:pPr>
      <w:r>
        <w:lastRenderedPageBreak/>
        <w:t xml:space="preserve">The Offshore Safety Directive Regulator </w:t>
      </w:r>
      <w:r w:rsidR="002E4EB7">
        <w:t>has published guidance about the Offshore Safety Directive</w:t>
      </w:r>
      <w:r w:rsidR="002E4EB7">
        <w:rPr>
          <w:rStyle w:val="FootnoteReference"/>
        </w:rPr>
        <w:footnoteReference w:id="16"/>
      </w:r>
      <w:r w:rsidR="002E4EB7">
        <w:t>.</w:t>
      </w:r>
    </w:p>
    <w:p w14:paraId="4BE71109" w14:textId="67F2075E" w:rsidR="00FB4504" w:rsidRDefault="00FB4504" w:rsidP="00734C6C">
      <w:pPr>
        <w:pStyle w:val="BulletText"/>
      </w:pPr>
      <w:r>
        <w:t>Where the Applicant is proposing a Phase C-only Work Programme (i.e. straight to drilling)</w:t>
      </w:r>
      <w:r w:rsidR="000C42DE">
        <w:t xml:space="preserve"> </w:t>
      </w:r>
      <w:r w:rsidR="00231B12">
        <w:t xml:space="preserve">over some acreage </w:t>
      </w:r>
      <w:r w:rsidR="000C42DE">
        <w:t>at the same time as Work Programmes with a Phase A and/or a Phase B</w:t>
      </w:r>
      <w:r w:rsidR="00231B12">
        <w:t xml:space="preserve"> over other acreage</w:t>
      </w:r>
      <w:r>
        <w:t xml:space="preserve">, </w:t>
      </w:r>
      <w:r w:rsidR="00231B12">
        <w:t>it</w:t>
      </w:r>
      <w:r>
        <w:t xml:space="preserve"> must submit a </w:t>
      </w:r>
      <w:r w:rsidRPr="008371BF">
        <w:rPr>
          <w:b/>
        </w:rPr>
        <w:t>separate</w:t>
      </w:r>
      <w:r>
        <w:t xml:space="preserve"> Application </w:t>
      </w:r>
      <w:r w:rsidR="00FF3AA0">
        <w:t xml:space="preserve">because </w:t>
      </w:r>
      <w:r>
        <w:t xml:space="preserve">the </w:t>
      </w:r>
      <w:r w:rsidR="000C42DE">
        <w:t xml:space="preserve">requirements </w:t>
      </w:r>
      <w:r w:rsidR="00FF3AA0">
        <w:t xml:space="preserve">for Financial </w:t>
      </w:r>
      <w:r w:rsidR="000C42DE">
        <w:t>C</w:t>
      </w:r>
      <w:r w:rsidR="00FF3AA0">
        <w:t>apability and Technical Competence</w:t>
      </w:r>
      <w:r w:rsidR="000C42DE">
        <w:t xml:space="preserve"> are different</w:t>
      </w:r>
      <w:r>
        <w:t xml:space="preserve">. </w:t>
      </w:r>
    </w:p>
    <w:p w14:paraId="17E5E30F" w14:textId="0F244BC6" w:rsidR="0061408C" w:rsidRPr="00231B12" w:rsidRDefault="0061408C" w:rsidP="0061408C">
      <w:pPr>
        <w:pStyle w:val="BulletText"/>
      </w:pPr>
      <w:r>
        <w:t xml:space="preserve">Where an Applicant has applied Phase A or Phase B, any award will show as “No Operator” because the Competencies for Operatorship have not been reviewed. These checks will be carried out prior to a request to progress from Phase A/B to Phase C.  </w:t>
      </w:r>
    </w:p>
    <w:p w14:paraId="72284D83" w14:textId="6D9D3208" w:rsidR="0061408C" w:rsidRDefault="00232DA0" w:rsidP="0013530C">
      <w:pPr>
        <w:pStyle w:val="BulletText"/>
      </w:pPr>
      <w:r>
        <w:t xml:space="preserve">To be awarded a licence, </w:t>
      </w:r>
      <w:r w:rsidR="004B7087">
        <w:t xml:space="preserve">a company </w:t>
      </w:r>
      <w:r>
        <w:t>must be registered in the UK, either as a company or as a branch of a foreign company</w:t>
      </w:r>
      <w:r w:rsidR="00762DF8" w:rsidRPr="00C51136">
        <w:rPr>
          <w:vertAlign w:val="superscript"/>
        </w:rPr>
        <w:footnoteReference w:id="17"/>
      </w:r>
      <w:r>
        <w:t xml:space="preserve">. The application must include the Registered Name, Address and Number of each company that is to hold the licence. </w:t>
      </w:r>
    </w:p>
    <w:p w14:paraId="4BE7110B" w14:textId="7177EFE1" w:rsidR="003B5279" w:rsidRDefault="00C34013" w:rsidP="00734C6C">
      <w:pPr>
        <w:pStyle w:val="BulletText"/>
      </w:pPr>
      <w:r w:rsidRPr="00231B12">
        <w:t xml:space="preserve">The OGA will not award a licence to a company other than the one named in the application, so applicants should decide exactly which company/ companies they want to hold the licence, and ensure that the application reflects their choice. </w:t>
      </w:r>
      <w:r w:rsidR="00EC4338" w:rsidRPr="00231B12">
        <w:t xml:space="preserve">Where the applicant </w:t>
      </w:r>
      <w:r w:rsidR="001B272F" w:rsidRPr="00231B12">
        <w:t xml:space="preserve">subsequently </w:t>
      </w:r>
      <w:r w:rsidR="00EC4338" w:rsidRPr="00231B12">
        <w:t xml:space="preserve">decides he wants a licence to be held by </w:t>
      </w:r>
      <w:r w:rsidR="00C51136" w:rsidRPr="00231B12">
        <w:t xml:space="preserve">some company other than </w:t>
      </w:r>
      <w:r w:rsidR="001B272F" w:rsidRPr="00231B12">
        <w:t xml:space="preserve">the one specified </w:t>
      </w:r>
      <w:r w:rsidR="00696321" w:rsidRPr="00231B12">
        <w:t>in the application</w:t>
      </w:r>
      <w:r w:rsidR="00EC4338" w:rsidRPr="00231B12">
        <w:t xml:space="preserve">, he should accept the </w:t>
      </w:r>
      <w:r w:rsidR="00696321" w:rsidRPr="00231B12">
        <w:t xml:space="preserve">licence </w:t>
      </w:r>
      <w:r w:rsidR="00EC4338" w:rsidRPr="00231B12">
        <w:t>and then seek consent to assign it afterwards.</w:t>
      </w:r>
    </w:p>
    <w:p w14:paraId="4BE7110C" w14:textId="7FACCE63" w:rsidR="003B5279" w:rsidRPr="00B82502" w:rsidRDefault="00232DA0" w:rsidP="00734C6C">
      <w:pPr>
        <w:pStyle w:val="BulletText"/>
      </w:pPr>
      <w:r w:rsidRPr="00B82502">
        <w:t xml:space="preserve">The </w:t>
      </w:r>
      <w:hyperlink r:id="rId18" w:history="1">
        <w:r w:rsidRPr="00B82502">
          <w:t>residence requirements</w:t>
        </w:r>
      </w:hyperlink>
      <w:r w:rsidRPr="00B82502">
        <w:t xml:space="preserve"> may change later if a licensee seeks to begin production</w:t>
      </w:r>
      <w:r w:rsidR="00165354">
        <w:rPr>
          <w:rStyle w:val="FootnoteReference"/>
        </w:rPr>
        <w:footnoteReference w:id="18"/>
      </w:r>
      <w:r w:rsidRPr="00B82502">
        <w:t>.</w:t>
      </w:r>
    </w:p>
    <w:p w14:paraId="4BE7110D" w14:textId="77777777" w:rsidR="00232DA0" w:rsidRDefault="00232DA0">
      <w:pPr>
        <w:pStyle w:val="Heading3"/>
      </w:pPr>
      <w:bookmarkStart w:id="5" w:name="_Toc484787680"/>
      <w:r>
        <w:t>Acreage</w:t>
      </w:r>
      <w:bookmarkEnd w:id="5"/>
    </w:p>
    <w:p w14:paraId="4BE7110E" w14:textId="77777777" w:rsidR="00232DA0" w:rsidRDefault="00764BDF">
      <w:pPr>
        <w:pStyle w:val="IntroPara"/>
      </w:pPr>
      <w:r>
        <w:t xml:space="preserve">At any licensing opportunity, whether it be a Licensing Round or an Out-of-Round invitation, </w:t>
      </w:r>
      <w:r w:rsidR="00C34013">
        <w:t xml:space="preserve">the </w:t>
      </w:r>
      <w:r w:rsidR="00B830D6">
        <w:t>OGA</w:t>
      </w:r>
      <w:r w:rsidR="003400B5">
        <w:t xml:space="preserve"> </w:t>
      </w:r>
      <w:r w:rsidR="00CA425A">
        <w:t xml:space="preserve">will </w:t>
      </w:r>
      <w:r>
        <w:t>invite applications for a specified list of blocks and part-blocks. We cannot consider applications for acreage</w:t>
      </w:r>
      <w:r w:rsidR="007260DE">
        <w:t xml:space="preserve"> </w:t>
      </w:r>
      <w:r w:rsidR="00C34013">
        <w:t xml:space="preserve">other than </w:t>
      </w:r>
      <w:r w:rsidR="00056A0F">
        <w:t xml:space="preserve">that </w:t>
      </w:r>
      <w:r w:rsidR="00C34013">
        <w:t>offered</w:t>
      </w:r>
      <w:r w:rsidR="007260DE">
        <w:t>.</w:t>
      </w:r>
    </w:p>
    <w:p w14:paraId="4BE7110F" w14:textId="77777777" w:rsidR="000C1D06" w:rsidRDefault="000C1D06" w:rsidP="00734C6C">
      <w:pPr>
        <w:pStyle w:val="BulletText"/>
      </w:pPr>
      <w:r>
        <w:t>The boundary</w:t>
      </w:r>
      <w:r>
        <w:fldChar w:fldCharType="begin"/>
      </w:r>
      <w:r>
        <w:instrText xml:space="preserve"> XE "Boundary between landward and seaward" </w:instrText>
      </w:r>
      <w:r>
        <w:fldChar w:fldCharType="end"/>
      </w:r>
      <w:r>
        <w:t xml:space="preserve"> between the Landward and Seaward regimes is the </w:t>
      </w:r>
      <w:r w:rsidR="00C248DF">
        <w:t xml:space="preserve">Low </w:t>
      </w:r>
      <w:r>
        <w:t xml:space="preserve">Water Mark, except that </w:t>
      </w:r>
      <w:r>
        <w:fldChar w:fldCharType="begin"/>
      </w:r>
      <w:r>
        <w:instrText xml:space="preserve"> XE "Acreage available" </w:instrText>
      </w:r>
      <w:r>
        <w:fldChar w:fldCharType="end"/>
      </w:r>
      <w:r>
        <w:t xml:space="preserve">areas above Bay Closing Lines (sometimes called “watery areas”) fall under the Landward regime. </w:t>
      </w:r>
    </w:p>
    <w:p w14:paraId="4BE71110" w14:textId="796B7179" w:rsidR="00CA425A" w:rsidRDefault="00C34013" w:rsidP="00734C6C">
      <w:pPr>
        <w:pStyle w:val="BulletText"/>
      </w:pPr>
      <w:r>
        <w:t xml:space="preserve">The </w:t>
      </w:r>
      <w:r w:rsidR="00B830D6">
        <w:t>OGA</w:t>
      </w:r>
      <w:r w:rsidR="003400B5">
        <w:t xml:space="preserve"> </w:t>
      </w:r>
      <w:r w:rsidR="00CA425A">
        <w:t>has divided the UK’s acreage into ‘blocks’. Onshore blocks are 100km</w:t>
      </w:r>
      <w:r w:rsidR="00CA425A" w:rsidRPr="006C3352">
        <w:rPr>
          <w:vertAlign w:val="superscript"/>
        </w:rPr>
        <w:t>2</w:t>
      </w:r>
      <w:r w:rsidR="00CA425A">
        <w:t xml:space="preserve"> in area</w:t>
      </w:r>
      <w:r>
        <w:t xml:space="preserve"> and are based on Ordnance Survey blocks</w:t>
      </w:r>
      <w:r w:rsidR="00CA425A">
        <w:t>; seaward blocks vary in size from c.190km</w:t>
      </w:r>
      <w:r w:rsidR="00CA425A" w:rsidRPr="00F91AE8">
        <w:rPr>
          <w:vertAlign w:val="superscript"/>
        </w:rPr>
        <w:t>2</w:t>
      </w:r>
      <w:r w:rsidR="00CA425A">
        <w:t xml:space="preserve"> in the far north to c.250km</w:t>
      </w:r>
      <w:r w:rsidR="00CA425A" w:rsidRPr="00F91AE8">
        <w:rPr>
          <w:vertAlign w:val="superscript"/>
        </w:rPr>
        <w:t>2</w:t>
      </w:r>
      <w:r w:rsidR="00CA425A" w:rsidRPr="002B4395">
        <w:t xml:space="preserve"> </w:t>
      </w:r>
      <w:r w:rsidR="00CA425A">
        <w:t>in the far south.</w:t>
      </w:r>
      <w:r w:rsidR="00A72CFD">
        <w:t xml:space="preserve"> </w:t>
      </w:r>
      <w:r w:rsidR="002B7936">
        <w:t xml:space="preserve">A </w:t>
      </w:r>
      <w:r w:rsidR="006C3352">
        <w:t>m</w:t>
      </w:r>
      <w:r w:rsidR="002B7936">
        <w:t xml:space="preserve">ap associated with each </w:t>
      </w:r>
      <w:r w:rsidR="006C3352">
        <w:t xml:space="preserve">invitation </w:t>
      </w:r>
      <w:r w:rsidR="002B7936">
        <w:t xml:space="preserve">shows the acreage available. </w:t>
      </w:r>
    </w:p>
    <w:p w14:paraId="4BE71111" w14:textId="2FE0172D" w:rsidR="0011428C" w:rsidRDefault="00CA3394" w:rsidP="00734C6C">
      <w:pPr>
        <w:pStyle w:val="BulletText"/>
      </w:pPr>
      <w:r>
        <w:t xml:space="preserve">Licensing Rounds cover specified areas. </w:t>
      </w:r>
      <w:r w:rsidR="00B830D6">
        <w:t>The OGA</w:t>
      </w:r>
      <w:r>
        <w:t xml:space="preserve"> will decide which areas to offer after considering </w:t>
      </w:r>
      <w:proofErr w:type="gramStart"/>
      <w:r>
        <w:t>a number of</w:t>
      </w:r>
      <w:proofErr w:type="gramEnd"/>
      <w:r>
        <w:t xml:space="preserve"> factors; for example: </w:t>
      </w:r>
      <w:r w:rsidR="006C1AB9">
        <w:t>recommendations of the</w:t>
      </w:r>
      <w:r>
        <w:t xml:space="preserve"> Strategic Environmental Assessment</w:t>
      </w:r>
      <w:r w:rsidR="000C42DE">
        <w:t>;</w:t>
      </w:r>
      <w:r>
        <w:t xml:space="preserve"> </w:t>
      </w:r>
      <w:r w:rsidR="006C1AB9">
        <w:t xml:space="preserve">other </w:t>
      </w:r>
      <w:r w:rsidR="0004488D">
        <w:t>regulatory requirements</w:t>
      </w:r>
      <w:r w:rsidR="006C1AB9">
        <w:t xml:space="preserve"> / pressures</w:t>
      </w:r>
      <w:r>
        <w:t xml:space="preserve">; demand from industry; areas where </w:t>
      </w:r>
      <w:r w:rsidR="00B830D6">
        <w:t>the OGA</w:t>
      </w:r>
      <w:r w:rsidR="00C434B4">
        <w:t xml:space="preserve"> </w:t>
      </w:r>
      <w:r>
        <w:t xml:space="preserve">has </w:t>
      </w:r>
      <w:r w:rsidR="000C42DE">
        <w:t xml:space="preserve">published </w:t>
      </w:r>
      <w:r>
        <w:t>new seismic or other geoscientific data. The invitation make</w:t>
      </w:r>
      <w:r w:rsidR="0011428C">
        <w:t>s</w:t>
      </w:r>
      <w:r>
        <w:t xml:space="preserve"> clear which acreage is available. </w:t>
      </w:r>
    </w:p>
    <w:p w14:paraId="4BE71112" w14:textId="42E5F300" w:rsidR="000C1D06" w:rsidRDefault="000C1D06" w:rsidP="00734C6C">
      <w:pPr>
        <w:pStyle w:val="BulletText"/>
      </w:pPr>
      <w:r>
        <w:t xml:space="preserve">Applications are made for whole </w:t>
      </w:r>
      <w:r w:rsidR="00F91AE8">
        <w:t>b</w:t>
      </w:r>
      <w:r>
        <w:t>lock</w:t>
      </w:r>
      <w:r w:rsidR="00F91AE8">
        <w:t>s, but awards need not be</w:t>
      </w:r>
      <w:r>
        <w:t>. Some blocks are already licensed in part, and in those cases</w:t>
      </w:r>
      <w:r w:rsidR="000C42DE">
        <w:t>, of course,</w:t>
      </w:r>
      <w:r>
        <w:t xml:space="preserve"> we could only consider issuing a licence for the remaining, unlicensed, parts. </w:t>
      </w:r>
      <w:r w:rsidR="00F91AE8">
        <w:t xml:space="preserve">An applicant who </w:t>
      </w:r>
      <w:r>
        <w:t>do</w:t>
      </w:r>
      <w:r w:rsidR="00F91AE8">
        <w:t>es</w:t>
      </w:r>
      <w:r>
        <w:t>n’t want the whole unlicensed part of a block</w:t>
      </w:r>
      <w:r w:rsidR="00F91AE8">
        <w:t xml:space="preserve"> should </w:t>
      </w:r>
      <w:r>
        <w:t xml:space="preserve">make clear in </w:t>
      </w:r>
      <w:r w:rsidR="00F91AE8">
        <w:t xml:space="preserve">the </w:t>
      </w:r>
      <w:r>
        <w:t xml:space="preserve">application which parts </w:t>
      </w:r>
      <w:r w:rsidR="00F91AE8">
        <w:t xml:space="preserve">s/he </w:t>
      </w:r>
      <w:r>
        <w:t>do</w:t>
      </w:r>
      <w:r w:rsidR="00F91AE8">
        <w:t>es</w:t>
      </w:r>
      <w:r>
        <w:t xml:space="preserve"> </w:t>
      </w:r>
      <w:r>
        <w:lastRenderedPageBreak/>
        <w:t xml:space="preserve">want, so that </w:t>
      </w:r>
      <w:r w:rsidR="00C34013">
        <w:t xml:space="preserve">the </w:t>
      </w:r>
      <w:r w:rsidR="00B830D6">
        <w:t>OGA</w:t>
      </w:r>
      <w:r w:rsidR="00F91AE8">
        <w:t xml:space="preserve"> </w:t>
      </w:r>
      <w:r>
        <w:t xml:space="preserve">can consider awarding a Licence over just that part of the block. </w:t>
      </w:r>
      <w:r w:rsidR="00C34013">
        <w:t xml:space="preserve">The </w:t>
      </w:r>
      <w:r w:rsidR="00B830D6">
        <w:t>OGA</w:t>
      </w:r>
      <w:r w:rsidR="003400B5">
        <w:t xml:space="preserve"> </w:t>
      </w:r>
      <w:r>
        <w:t xml:space="preserve">will in any case review the acreage and may only award part of a block to the successful applicant, if that is all </w:t>
      </w:r>
      <w:r w:rsidR="009F706B">
        <w:t>the applicant</w:t>
      </w:r>
      <w:r>
        <w:t xml:space="preserve"> has plans for.</w:t>
      </w:r>
      <w:r w:rsidRPr="00D43B61">
        <w:t xml:space="preserve"> </w:t>
      </w:r>
    </w:p>
    <w:p w14:paraId="4BE71113" w14:textId="77777777" w:rsidR="00F24DC6" w:rsidRPr="00DC01F4" w:rsidRDefault="007A34EF" w:rsidP="00734C6C">
      <w:pPr>
        <w:pStyle w:val="BulletText"/>
        <w:rPr>
          <w:color w:val="000000" w:themeColor="text1"/>
        </w:rPr>
      </w:pPr>
      <w:r w:rsidRPr="00DC01F4">
        <w:rPr>
          <w:color w:val="000000" w:themeColor="text1"/>
        </w:rPr>
        <w:t>There is no upper limit</w:t>
      </w:r>
      <w:r w:rsidR="00732144" w:rsidRPr="00DC01F4">
        <w:rPr>
          <w:color w:val="000000" w:themeColor="text1"/>
        </w:rPr>
        <w:fldChar w:fldCharType="begin"/>
      </w:r>
      <w:r w:rsidRPr="00DC01F4">
        <w:rPr>
          <w:color w:val="000000" w:themeColor="text1"/>
        </w:rPr>
        <w:instrText xml:space="preserve"> XE "Acreage, maximum" </w:instrText>
      </w:r>
      <w:r w:rsidR="00732144" w:rsidRPr="00DC01F4">
        <w:rPr>
          <w:color w:val="000000" w:themeColor="text1"/>
        </w:rPr>
        <w:fldChar w:fldCharType="end"/>
      </w:r>
      <w:r w:rsidRPr="00DC01F4">
        <w:rPr>
          <w:color w:val="000000" w:themeColor="text1"/>
        </w:rPr>
        <w:t xml:space="preserve"> to the amount of acreage </w:t>
      </w:r>
      <w:r w:rsidR="00F91AE8" w:rsidRPr="00DC01F4">
        <w:rPr>
          <w:color w:val="000000" w:themeColor="text1"/>
        </w:rPr>
        <w:t xml:space="preserve">that an applicant </w:t>
      </w:r>
      <w:r w:rsidRPr="00DC01F4">
        <w:rPr>
          <w:color w:val="000000" w:themeColor="text1"/>
        </w:rPr>
        <w:t xml:space="preserve">can apply for, but there are limits to the amount of acreage that </w:t>
      </w:r>
      <w:r w:rsidR="00C34013">
        <w:rPr>
          <w:color w:val="000000" w:themeColor="text1"/>
        </w:rPr>
        <w:t xml:space="preserve">the </w:t>
      </w:r>
      <w:r w:rsidR="00B830D6">
        <w:rPr>
          <w:color w:val="000000" w:themeColor="text1"/>
        </w:rPr>
        <w:t>OGA</w:t>
      </w:r>
      <w:r w:rsidR="00D779E0" w:rsidRPr="00DC01F4">
        <w:rPr>
          <w:color w:val="000000" w:themeColor="text1"/>
        </w:rPr>
        <w:t xml:space="preserve"> </w:t>
      </w:r>
      <w:r w:rsidRPr="00DC01F4">
        <w:rPr>
          <w:color w:val="000000" w:themeColor="text1"/>
        </w:rPr>
        <w:t xml:space="preserve">will award </w:t>
      </w:r>
      <w:r w:rsidR="00D779E0" w:rsidRPr="00DC01F4">
        <w:rPr>
          <w:color w:val="000000" w:themeColor="text1"/>
        </w:rPr>
        <w:t xml:space="preserve">in </w:t>
      </w:r>
      <w:r w:rsidRPr="00DC01F4">
        <w:rPr>
          <w:color w:val="000000" w:themeColor="text1"/>
        </w:rPr>
        <w:t xml:space="preserve">a single </w:t>
      </w:r>
      <w:r w:rsidR="006C3352" w:rsidRPr="00DC01F4">
        <w:rPr>
          <w:color w:val="000000" w:themeColor="text1"/>
        </w:rPr>
        <w:t>l</w:t>
      </w:r>
      <w:r w:rsidR="00D779E0" w:rsidRPr="00DC01F4">
        <w:rPr>
          <w:color w:val="000000" w:themeColor="text1"/>
        </w:rPr>
        <w:t>icence</w:t>
      </w:r>
      <w:r w:rsidR="00F91AE8" w:rsidRPr="00DC01F4">
        <w:rPr>
          <w:color w:val="000000" w:themeColor="text1"/>
        </w:rPr>
        <w:t xml:space="preserve">. </w:t>
      </w:r>
      <w:r w:rsidR="00696321" w:rsidRPr="00DC01F4">
        <w:rPr>
          <w:color w:val="000000" w:themeColor="text1"/>
        </w:rPr>
        <w:t xml:space="preserve">There is more guidance at the </w:t>
      </w:r>
      <w:r w:rsidR="00696321" w:rsidRPr="00DC01F4">
        <w:rPr>
          <w:color w:val="000000" w:themeColor="text1"/>
          <w:highlight w:val="yellow"/>
        </w:rPr>
        <w:t>Technical Guidance</w:t>
      </w:r>
      <w:r w:rsidR="00696321" w:rsidRPr="00DC01F4">
        <w:rPr>
          <w:color w:val="000000" w:themeColor="text1"/>
        </w:rPr>
        <w:t xml:space="preserve"> document.</w:t>
      </w:r>
    </w:p>
    <w:p w14:paraId="4BE71114" w14:textId="77777777" w:rsidR="005053D9" w:rsidRDefault="00B830D6" w:rsidP="00734C6C">
      <w:pPr>
        <w:pStyle w:val="BulletText"/>
      </w:pPr>
      <w:r>
        <w:t>T</w:t>
      </w:r>
      <w:r w:rsidR="00C34013">
        <w:t>he</w:t>
      </w:r>
      <w:r>
        <w:t xml:space="preserve"> OGA</w:t>
      </w:r>
      <w:r w:rsidR="00D779E0">
        <w:t xml:space="preserve"> </w:t>
      </w:r>
      <w:r w:rsidR="00E40741">
        <w:t xml:space="preserve">will </w:t>
      </w:r>
      <w:r w:rsidR="00052BF7">
        <w:t xml:space="preserve">not award acreage </w:t>
      </w:r>
      <w:r w:rsidR="000D3D15">
        <w:t xml:space="preserve">that </w:t>
      </w:r>
      <w:r w:rsidR="00052BF7">
        <w:t xml:space="preserve">the applicant has no plans to explore and exploit. </w:t>
      </w:r>
    </w:p>
    <w:p w14:paraId="4BE71115" w14:textId="77777777" w:rsidR="007A34EF" w:rsidRDefault="00C34013" w:rsidP="00734C6C">
      <w:pPr>
        <w:pStyle w:val="BulletText"/>
      </w:pPr>
      <w:r>
        <w:t>The</w:t>
      </w:r>
      <w:r w:rsidR="00B830D6">
        <w:t xml:space="preserve"> OGA</w:t>
      </w:r>
      <w:r w:rsidR="00D779E0">
        <w:t xml:space="preserve"> </w:t>
      </w:r>
      <w:r w:rsidR="007A34EF">
        <w:t>may not be prepared to license a very small or very irregular area.</w:t>
      </w:r>
    </w:p>
    <w:p w14:paraId="4BE71116" w14:textId="77777777" w:rsidR="00232DA0" w:rsidRDefault="00232DA0">
      <w:pPr>
        <w:pStyle w:val="Heading3"/>
      </w:pPr>
      <w:bookmarkStart w:id="6" w:name="_Toc484787681"/>
      <w:r>
        <w:t>Work Programmes</w:t>
      </w:r>
      <w:bookmarkEnd w:id="6"/>
      <w:r w:rsidR="00732144">
        <w:fldChar w:fldCharType="begin"/>
      </w:r>
      <w:r>
        <w:instrText xml:space="preserve"> XE "Work Programmes" </w:instrText>
      </w:r>
      <w:r w:rsidR="00732144">
        <w:fldChar w:fldCharType="end"/>
      </w:r>
    </w:p>
    <w:p w14:paraId="4BE71117" w14:textId="77777777" w:rsidR="00242DB9" w:rsidRDefault="004A2CC4">
      <w:pPr>
        <w:pStyle w:val="IntroPara"/>
      </w:pPr>
      <w:r>
        <w:t xml:space="preserve">For </w:t>
      </w:r>
      <w:r w:rsidR="00E87561">
        <w:t>applications for licences</w:t>
      </w:r>
      <w:r>
        <w:t xml:space="preserve"> that start with an Initial Term, t</w:t>
      </w:r>
      <w:r w:rsidR="00107030">
        <w:t xml:space="preserve">he </w:t>
      </w:r>
      <w:r w:rsidR="003B172B">
        <w:t>applicant</w:t>
      </w:r>
      <w:r w:rsidR="00A37F8F">
        <w:t xml:space="preserve"> must propose a </w:t>
      </w:r>
      <w:r w:rsidR="00A37F8F" w:rsidRPr="00C0141D">
        <w:t>Work Programme</w:t>
      </w:r>
      <w:r w:rsidR="00A37F8F">
        <w:t xml:space="preserve">, which is the minimum amount of exploration work that </w:t>
      </w:r>
      <w:r w:rsidR="00107030">
        <w:t xml:space="preserve">the </w:t>
      </w:r>
      <w:r w:rsidR="003B172B">
        <w:t>applicant</w:t>
      </w:r>
      <w:r w:rsidR="00A37F8F">
        <w:t xml:space="preserve"> </w:t>
      </w:r>
      <w:r w:rsidR="00CB4C15">
        <w:t xml:space="preserve">must </w:t>
      </w:r>
      <w:r w:rsidR="00A37F8F">
        <w:t>carry out</w:t>
      </w:r>
      <w:r w:rsidR="00CB4C15">
        <w:t>,</w:t>
      </w:r>
      <w:r w:rsidR="00A37F8F">
        <w:t xml:space="preserve"> if it should be awarded a licence</w:t>
      </w:r>
      <w:r w:rsidR="00CB4C15">
        <w:t>, if the licence is not to expire at the end of its Initial Term.</w:t>
      </w:r>
    </w:p>
    <w:p w14:paraId="4BE71118" w14:textId="02179D2A" w:rsidR="00232DA0" w:rsidRDefault="00242DB9">
      <w:pPr>
        <w:pStyle w:val="IntroPara"/>
      </w:pPr>
      <w:r>
        <w:t>The agreed Work Programme will form an important part of the Licence itself</w:t>
      </w:r>
      <w:r w:rsidR="009B786D">
        <w:t xml:space="preserve">, and </w:t>
      </w:r>
      <w:r w:rsidR="00BD2C4B">
        <w:t xml:space="preserve">the Licence will expire at the end of the Initial Term if the </w:t>
      </w:r>
      <w:r w:rsidR="00BD2C4B" w:rsidRPr="00BD2C4B">
        <w:t>Work Programme</w:t>
      </w:r>
      <w:r w:rsidR="00BD2C4B">
        <w:t xml:space="preserve"> has not been completed by then</w:t>
      </w:r>
      <w:r w:rsidR="00F16FCA">
        <w:t xml:space="preserve"> or the Initial Term has been extended</w:t>
      </w:r>
      <w:r w:rsidR="00BD2C4B">
        <w:t>.</w:t>
      </w:r>
      <w:r w:rsidR="00B02BA9">
        <w:t xml:space="preserve"> </w:t>
      </w:r>
      <w:r>
        <w:t>A</w:t>
      </w:r>
      <w:r w:rsidR="00232DA0">
        <w:t xml:space="preserve">long with the technical work already carried out, </w:t>
      </w:r>
      <w:r w:rsidR="0067662A">
        <w:t>the Work Programme</w:t>
      </w:r>
      <w:r>
        <w:t xml:space="preserve"> </w:t>
      </w:r>
      <w:r w:rsidR="00232DA0">
        <w:t xml:space="preserve">is one of the main factors that </w:t>
      </w:r>
      <w:r w:rsidR="0055204E">
        <w:t xml:space="preserve">the </w:t>
      </w:r>
      <w:r w:rsidR="00B830D6">
        <w:t>OGA</w:t>
      </w:r>
      <w:r w:rsidR="006C2137">
        <w:t xml:space="preserve"> </w:t>
      </w:r>
      <w:r w:rsidR="00232DA0">
        <w:t>will use to judge between competing applications.</w:t>
      </w:r>
    </w:p>
    <w:p w14:paraId="4BE71119" w14:textId="77777777" w:rsidR="00FC5F85" w:rsidRDefault="004C2331" w:rsidP="00734C6C">
      <w:pPr>
        <w:pStyle w:val="BulletText"/>
      </w:pPr>
      <w:r>
        <w:t xml:space="preserve">The </w:t>
      </w:r>
      <w:r w:rsidR="003B172B">
        <w:t>applicant</w:t>
      </w:r>
      <w:r w:rsidR="00E87561">
        <w:t>, when applying for a licence with an Initial Term,</w:t>
      </w:r>
      <w:r>
        <w:t xml:space="preserve"> proposes a Work Programme as part of the application</w:t>
      </w:r>
      <w:r w:rsidR="0055204E">
        <w:t xml:space="preserve">. It </w:t>
      </w:r>
      <w:r>
        <w:t>is likely to be discussed at interview. A Work Programme consists of one or more elements of exploration work.</w:t>
      </w:r>
    </w:p>
    <w:p w14:paraId="4BE7111A" w14:textId="4CD1CC43" w:rsidR="00FC5F85" w:rsidRDefault="00F50266" w:rsidP="00734C6C">
      <w:pPr>
        <w:pStyle w:val="BulletText"/>
      </w:pPr>
      <w:r>
        <w:t xml:space="preserve">The basic plan for the </w:t>
      </w:r>
      <w:r w:rsidR="00FC5F85">
        <w:t>Seaward</w:t>
      </w:r>
      <w:r w:rsidR="00335AFF">
        <w:t xml:space="preserve"> Innovate</w:t>
      </w:r>
      <w:r w:rsidR="00E950C7">
        <w:fldChar w:fldCharType="begin"/>
      </w:r>
      <w:r w:rsidR="00E950C7">
        <w:instrText xml:space="preserve"> XE "</w:instrText>
      </w:r>
      <w:r w:rsidR="00E950C7" w:rsidRPr="006A19EA">
        <w:instrText>Innovate</w:instrText>
      </w:r>
      <w:r w:rsidR="00E950C7">
        <w:instrText xml:space="preserve">" </w:instrText>
      </w:r>
      <w:r w:rsidR="00E950C7">
        <w:fldChar w:fldCharType="end"/>
      </w:r>
      <w:r w:rsidR="00FC5F85">
        <w:t xml:space="preserve"> Licence</w:t>
      </w:r>
      <w:r>
        <w:t xml:space="preserve"> </w:t>
      </w:r>
      <w:r w:rsidR="00E87561">
        <w:t xml:space="preserve">where there is an Initial Term </w:t>
      </w:r>
      <w:r>
        <w:t>is for the Work Programme to be divided into three phases</w:t>
      </w:r>
      <w:r w:rsidR="0055204E">
        <w:t>. There is more detailed guidance elsewhere</w:t>
      </w:r>
      <w:r w:rsidR="002517FC">
        <w:rPr>
          <w:rStyle w:val="FootnoteReference"/>
        </w:rPr>
        <w:footnoteReference w:id="19"/>
      </w:r>
      <w:r w:rsidR="0055204E">
        <w:t xml:space="preserve"> but in short</w:t>
      </w:r>
      <w:r w:rsidR="00FC5F85">
        <w:t xml:space="preserve">: </w:t>
      </w:r>
    </w:p>
    <w:p w14:paraId="4BE7111B" w14:textId="6E61CB01" w:rsidR="00FC5F85" w:rsidRDefault="00FC5F85" w:rsidP="00D13160">
      <w:pPr>
        <w:pStyle w:val="BulletText"/>
        <w:numPr>
          <w:ilvl w:val="1"/>
          <w:numId w:val="2"/>
        </w:numPr>
      </w:pPr>
      <w:r>
        <w:t xml:space="preserve">a Phase A </w:t>
      </w:r>
      <w:r w:rsidR="00D13160">
        <w:t xml:space="preserve">for </w:t>
      </w:r>
      <w:r w:rsidR="00D13160" w:rsidRPr="00D13160">
        <w:t xml:space="preserve">carrying out </w:t>
      </w:r>
      <w:r w:rsidR="00B14DAD">
        <w:t>geotechnical s</w:t>
      </w:r>
      <w:r w:rsidR="00D13160" w:rsidRPr="00D13160">
        <w:t xml:space="preserve">tudies and </w:t>
      </w:r>
      <w:r w:rsidR="00B14DAD">
        <w:t>g</w:t>
      </w:r>
      <w:r w:rsidR="00D13160" w:rsidRPr="00D13160">
        <w:t xml:space="preserve">eophysical </w:t>
      </w:r>
      <w:r w:rsidR="00B14DAD">
        <w:t>d</w:t>
      </w:r>
      <w:r w:rsidR="00D13160" w:rsidRPr="00D13160">
        <w:t xml:space="preserve">ata </w:t>
      </w:r>
      <w:r w:rsidR="00BF3E26">
        <w:t xml:space="preserve">purchase and /or </w:t>
      </w:r>
      <w:r w:rsidR="00B14DAD">
        <w:t>r</w:t>
      </w:r>
      <w:r w:rsidR="00D13160" w:rsidRPr="00D13160">
        <w:t>eprocessing</w:t>
      </w:r>
      <w:r>
        <w:t xml:space="preserve">, </w:t>
      </w:r>
    </w:p>
    <w:p w14:paraId="4BE7111C" w14:textId="77777777" w:rsidR="00FC5F85" w:rsidRDefault="00FC5F85" w:rsidP="000D3D15">
      <w:pPr>
        <w:pStyle w:val="BulletText"/>
        <w:numPr>
          <w:ilvl w:val="1"/>
          <w:numId w:val="2"/>
        </w:numPr>
      </w:pPr>
      <w:r>
        <w:t xml:space="preserve">a Phase B </w:t>
      </w:r>
      <w:r w:rsidR="00D13160">
        <w:rPr>
          <w:lang w:eastAsia="nb-NO"/>
        </w:rPr>
        <w:t xml:space="preserve">for </w:t>
      </w:r>
      <w:r w:rsidR="00B14DAD">
        <w:rPr>
          <w:lang w:eastAsia="nb-NO"/>
        </w:rPr>
        <w:t>s</w:t>
      </w:r>
      <w:r w:rsidR="00D13160">
        <w:rPr>
          <w:lang w:eastAsia="nb-NO"/>
        </w:rPr>
        <w:t xml:space="preserve">hooting </w:t>
      </w:r>
      <w:r w:rsidR="00B14DAD">
        <w:rPr>
          <w:lang w:eastAsia="nb-NO"/>
        </w:rPr>
        <w:t>new s</w:t>
      </w:r>
      <w:r w:rsidR="00D13160">
        <w:rPr>
          <w:lang w:eastAsia="nb-NO"/>
        </w:rPr>
        <w:t xml:space="preserve">eismic and </w:t>
      </w:r>
      <w:r w:rsidR="00B14DAD">
        <w:rPr>
          <w:lang w:eastAsia="nb-NO"/>
        </w:rPr>
        <w:t xml:space="preserve">acquiring </w:t>
      </w:r>
      <w:r w:rsidR="00D13160">
        <w:rPr>
          <w:lang w:eastAsia="nb-NO"/>
        </w:rPr>
        <w:t xml:space="preserve">other </w:t>
      </w:r>
      <w:r w:rsidR="00B14DAD">
        <w:rPr>
          <w:lang w:eastAsia="nb-NO"/>
        </w:rPr>
        <w:t>g</w:t>
      </w:r>
      <w:r w:rsidR="00D13160">
        <w:rPr>
          <w:lang w:eastAsia="nb-NO"/>
        </w:rPr>
        <w:t xml:space="preserve">eophysical </w:t>
      </w:r>
      <w:r w:rsidR="00B14DAD">
        <w:rPr>
          <w:lang w:eastAsia="nb-NO"/>
        </w:rPr>
        <w:t>d</w:t>
      </w:r>
      <w:r w:rsidR="00D13160">
        <w:rPr>
          <w:lang w:eastAsia="nb-NO"/>
        </w:rPr>
        <w:t>ata</w:t>
      </w:r>
      <w:r>
        <w:t>, and</w:t>
      </w:r>
    </w:p>
    <w:p w14:paraId="4BE7111D" w14:textId="77777777" w:rsidR="00FC5F85" w:rsidRDefault="00FC5F85" w:rsidP="00D13160">
      <w:pPr>
        <w:pStyle w:val="BulletText"/>
        <w:numPr>
          <w:ilvl w:val="1"/>
          <w:numId w:val="2"/>
        </w:numPr>
      </w:pPr>
      <w:r>
        <w:t xml:space="preserve">a Phase C </w:t>
      </w:r>
      <w:r w:rsidR="00D13160">
        <w:t>f</w:t>
      </w:r>
      <w:r w:rsidR="00D13160" w:rsidRPr="00D13160">
        <w:t xml:space="preserve">or </w:t>
      </w:r>
      <w:r w:rsidR="00B14DAD">
        <w:t>d</w:t>
      </w:r>
      <w:r w:rsidR="00D13160" w:rsidRPr="00D13160">
        <w:t>rilling</w:t>
      </w:r>
      <w:r>
        <w:t>.</w:t>
      </w:r>
    </w:p>
    <w:p w14:paraId="4BE7111E" w14:textId="77777777" w:rsidR="0055204E" w:rsidRDefault="004C2331" w:rsidP="009A4822">
      <w:pPr>
        <w:pStyle w:val="BulletText"/>
      </w:pPr>
      <w:r>
        <w:t xml:space="preserve">If </w:t>
      </w:r>
      <w:r w:rsidR="0055204E">
        <w:t xml:space="preserve">the </w:t>
      </w:r>
      <w:r w:rsidR="00B830D6">
        <w:t>OGA</w:t>
      </w:r>
      <w:r w:rsidR="00873118">
        <w:t xml:space="preserve"> </w:t>
      </w:r>
      <w:r>
        <w:t xml:space="preserve">offers a licence, part of the offer will specify the Work Programme that </w:t>
      </w:r>
      <w:r w:rsidR="0055204E">
        <w:t xml:space="preserve">the </w:t>
      </w:r>
      <w:r w:rsidR="00B830D6">
        <w:t>OGA</w:t>
      </w:r>
      <w:r w:rsidR="00873118">
        <w:t xml:space="preserve"> </w:t>
      </w:r>
      <w:r>
        <w:t>is willing to accept</w:t>
      </w:r>
      <w:r w:rsidR="00CB4C15">
        <w:t xml:space="preserve">. </w:t>
      </w:r>
      <w:r w:rsidR="00232DA0">
        <w:t xml:space="preserve">The Work Programme </w:t>
      </w:r>
      <w:r>
        <w:t xml:space="preserve">will be set out in full in the </w:t>
      </w:r>
      <w:r w:rsidR="000D3D15">
        <w:t>l</w:t>
      </w:r>
      <w:r w:rsidR="0083129D">
        <w:t>icence</w:t>
      </w:r>
      <w:r w:rsidR="00CB4C15">
        <w:t xml:space="preserve">. </w:t>
      </w:r>
    </w:p>
    <w:p w14:paraId="4BE71120" w14:textId="77777777" w:rsidR="00232DA0" w:rsidRDefault="00232DA0">
      <w:pPr>
        <w:pStyle w:val="Heading3"/>
      </w:pPr>
      <w:bookmarkStart w:id="7" w:name="_Documentation_and_formats"/>
      <w:bookmarkStart w:id="8" w:name="_Special_types_of"/>
      <w:bookmarkStart w:id="9" w:name="_Documentation_and_formats_1"/>
      <w:bookmarkStart w:id="10" w:name="_Interviews"/>
      <w:bookmarkStart w:id="11" w:name="_Documentation_and_formats_2"/>
      <w:bookmarkStart w:id="12" w:name="_The_Application_Form"/>
      <w:bookmarkStart w:id="13" w:name="_Appendix_A_(Financial"/>
      <w:bookmarkStart w:id="14" w:name="_Application_fee"/>
      <w:bookmarkStart w:id="15" w:name="_Number_of_copies"/>
      <w:bookmarkStart w:id="16" w:name="_Application_fee_1"/>
      <w:bookmarkStart w:id="17" w:name="_Toc484787682"/>
      <w:bookmarkEnd w:id="7"/>
      <w:bookmarkEnd w:id="8"/>
      <w:bookmarkEnd w:id="9"/>
      <w:bookmarkEnd w:id="10"/>
      <w:bookmarkEnd w:id="11"/>
      <w:bookmarkEnd w:id="12"/>
      <w:bookmarkEnd w:id="13"/>
      <w:bookmarkEnd w:id="14"/>
      <w:bookmarkEnd w:id="15"/>
      <w:bookmarkEnd w:id="16"/>
      <w:r>
        <w:t>Application fee</w:t>
      </w:r>
      <w:bookmarkEnd w:id="17"/>
      <w:r w:rsidR="00732144">
        <w:fldChar w:fldCharType="begin"/>
      </w:r>
      <w:r>
        <w:instrText xml:space="preserve"> XE "Application:fees" </w:instrText>
      </w:r>
      <w:r w:rsidR="00732144">
        <w:fldChar w:fldCharType="end"/>
      </w:r>
    </w:p>
    <w:p w14:paraId="4BE71121" w14:textId="622B5731" w:rsidR="00232DA0" w:rsidRPr="004E668A" w:rsidRDefault="00232DA0">
      <w:pPr>
        <w:pStyle w:val="IntroPara"/>
        <w:rPr>
          <w:b/>
          <w:i/>
        </w:rPr>
      </w:pPr>
      <w:r>
        <w:t xml:space="preserve">There is an Application Fee to cover </w:t>
      </w:r>
      <w:r w:rsidR="00855BAB">
        <w:t>the</w:t>
      </w:r>
      <w:r w:rsidR="00B830D6">
        <w:t xml:space="preserve"> OGA</w:t>
      </w:r>
      <w:r w:rsidR="007D1CA8">
        <w:t xml:space="preserve">’s </w:t>
      </w:r>
      <w:r>
        <w:t xml:space="preserve">costs. </w:t>
      </w:r>
      <w:r w:rsidR="00BF3E26">
        <w:t xml:space="preserve">The </w:t>
      </w:r>
      <w:r w:rsidR="00B830D6">
        <w:t>OGA</w:t>
      </w:r>
      <w:r w:rsidR="00873118">
        <w:t xml:space="preserve"> </w:t>
      </w:r>
      <w:r>
        <w:t>can accept payment electronically or by</w:t>
      </w:r>
      <w:r w:rsidR="006F65F0">
        <w:t xml:space="preserve"> cheque.</w:t>
      </w:r>
    </w:p>
    <w:p w14:paraId="4BE71122" w14:textId="77777777" w:rsidR="005D658C" w:rsidRDefault="00232DA0" w:rsidP="00734C6C">
      <w:pPr>
        <w:pStyle w:val="BulletText"/>
      </w:pPr>
      <w:r>
        <w:t>The application fee is £2,</w:t>
      </w:r>
      <w:r w:rsidR="00B16E9C">
        <w:t>100</w:t>
      </w:r>
      <w:r>
        <w:t xml:space="preserve"> for Seaward Production Licence</w:t>
      </w:r>
      <w:r w:rsidR="001F4224">
        <w:t>s</w:t>
      </w:r>
      <w:r>
        <w:t xml:space="preserve"> and £1,</w:t>
      </w:r>
      <w:r w:rsidR="00377B10">
        <w:t>4</w:t>
      </w:r>
      <w:r>
        <w:t xml:space="preserve">00 for Landward </w:t>
      </w:r>
      <w:r w:rsidR="0098274F">
        <w:t>Production</w:t>
      </w:r>
      <w:r>
        <w:t xml:space="preserve"> Licence</w:t>
      </w:r>
      <w:r w:rsidR="001F4224">
        <w:t>s</w:t>
      </w:r>
      <w:r>
        <w:t>. The figures are defined in secondary legislation</w:t>
      </w:r>
      <w:r w:rsidR="000A2E06">
        <w:rPr>
          <w:rStyle w:val="FootnoteReference"/>
        </w:rPr>
        <w:footnoteReference w:id="20"/>
      </w:r>
      <w:r>
        <w:t xml:space="preserve">. </w:t>
      </w:r>
    </w:p>
    <w:p w14:paraId="4BE71123" w14:textId="77777777" w:rsidR="00200C25" w:rsidRDefault="00413797" w:rsidP="00734C6C">
      <w:pPr>
        <w:pStyle w:val="BulletText"/>
      </w:pPr>
      <w:r>
        <w:lastRenderedPageBreak/>
        <w:t>LARRY provides a secure method for payment</w:t>
      </w:r>
      <w:r w:rsidR="00F96F34">
        <w:t>s</w:t>
      </w:r>
      <w:r>
        <w:t xml:space="preserve">. </w:t>
      </w:r>
      <w:r w:rsidR="00200C25">
        <w:t>There is guidance on payment methods elsewhere on the site</w:t>
      </w:r>
      <w:r w:rsidR="00200C25" w:rsidRPr="007D1CA8">
        <w:rPr>
          <w:vertAlign w:val="superscript"/>
        </w:rPr>
        <w:footnoteReference w:id="21"/>
      </w:r>
      <w:r w:rsidR="00200C25">
        <w:t>.</w:t>
      </w:r>
    </w:p>
    <w:p w14:paraId="4BE71124" w14:textId="77777777" w:rsidR="00232DA0" w:rsidRDefault="00232DA0">
      <w:pPr>
        <w:pStyle w:val="Heading3"/>
      </w:pPr>
      <w:bookmarkStart w:id="18" w:name="_Interviews_1"/>
      <w:bookmarkStart w:id="19" w:name="_How_decisions_are_1"/>
      <w:bookmarkStart w:id="20" w:name="_How_decisions_are"/>
      <w:bookmarkStart w:id="21" w:name="_Toc484787683"/>
      <w:bookmarkEnd w:id="18"/>
      <w:bookmarkEnd w:id="19"/>
      <w:bookmarkEnd w:id="20"/>
      <w:r>
        <w:t>How decisions are reached</w:t>
      </w:r>
      <w:bookmarkEnd w:id="21"/>
    </w:p>
    <w:p w14:paraId="4BE71125" w14:textId="77777777" w:rsidR="00232DA0" w:rsidRDefault="00855BAB">
      <w:pPr>
        <w:pStyle w:val="IntroPara"/>
      </w:pPr>
      <w:r>
        <w:t>The</w:t>
      </w:r>
      <w:r w:rsidR="00B830D6">
        <w:t xml:space="preserve"> OGA</w:t>
      </w:r>
      <w:r w:rsidR="00C218BD">
        <w:t xml:space="preserve"> </w:t>
      </w:r>
      <w:r w:rsidR="00232DA0">
        <w:t xml:space="preserve">has full discretion to make decisions on applications for Production Licences, but will </w:t>
      </w:r>
      <w:r w:rsidR="006926FD">
        <w:t xml:space="preserve">always </w:t>
      </w:r>
      <w:r w:rsidR="00232DA0">
        <w:t xml:space="preserve">make them in line with </w:t>
      </w:r>
      <w:r w:rsidR="0055204E">
        <w:t>legal requirements</w:t>
      </w:r>
      <w:r w:rsidR="0004047A">
        <w:t xml:space="preserve">, </w:t>
      </w:r>
      <w:r w:rsidR="00232DA0">
        <w:t>published policies and objectives.</w:t>
      </w:r>
      <w:r w:rsidR="004C6020">
        <w:t xml:space="preserve"> Where there is competition for the same acreage between applicants</w:t>
      </w:r>
      <w:r w:rsidR="006926FD">
        <w:t>,</w:t>
      </w:r>
      <w:r w:rsidR="004C6020">
        <w:t xml:space="preserve"> </w:t>
      </w:r>
      <w:r w:rsidR="00037CFF">
        <w:t xml:space="preserve">all of whom </w:t>
      </w:r>
      <w:r w:rsidR="004C6020">
        <w:t xml:space="preserve">meet </w:t>
      </w:r>
      <w:r w:rsidR="00B830D6">
        <w:t>the OGA</w:t>
      </w:r>
      <w:r w:rsidR="000D70C7">
        <w:t xml:space="preserve">’s </w:t>
      </w:r>
      <w:r w:rsidR="004C6020">
        <w:t>criteria, the decision will be based largely on the marks awarded to the applications.</w:t>
      </w:r>
    </w:p>
    <w:p w14:paraId="4BE71126" w14:textId="6EE7EB60" w:rsidR="0083129D" w:rsidRDefault="0055204E" w:rsidP="00734C6C">
      <w:pPr>
        <w:pStyle w:val="BulletText"/>
      </w:pPr>
      <w:r>
        <w:t xml:space="preserve">The </w:t>
      </w:r>
      <w:r w:rsidR="00B830D6">
        <w:t>OGA</w:t>
      </w:r>
      <w:r w:rsidR="000934E4">
        <w:t xml:space="preserve">’s </w:t>
      </w:r>
      <w:r w:rsidR="00E76C73">
        <w:t xml:space="preserve">general </w:t>
      </w:r>
      <w:r w:rsidR="000934E4">
        <w:t xml:space="preserve">policy objective in </w:t>
      </w:r>
      <w:r>
        <w:t xml:space="preserve">deciding whether to award a Licence and to whom </w:t>
      </w:r>
      <w:r w:rsidR="000934E4">
        <w:t xml:space="preserve">is to maximise </w:t>
      </w:r>
      <w:r w:rsidR="003634C5">
        <w:t>the economic recovery of UK petroleum (MER UK)</w:t>
      </w:r>
      <w:r w:rsidR="003634C5">
        <w:rPr>
          <w:rStyle w:val="FootnoteReference"/>
        </w:rPr>
        <w:footnoteReference w:id="22"/>
      </w:r>
      <w:r w:rsidR="000934E4">
        <w:t xml:space="preserve">, and all decisions will be made in pursuit of that policy. </w:t>
      </w:r>
      <w:r w:rsidR="00232DA0">
        <w:t xml:space="preserve">The </w:t>
      </w:r>
      <w:hyperlink r:id="rId19" w:history="1">
        <w:r w:rsidR="0025259B" w:rsidRPr="005D658C">
          <w:t>Petroleum Act 1998</w:t>
        </w:r>
      </w:hyperlink>
      <w:r w:rsidR="0025259B">
        <w:fldChar w:fldCharType="begin"/>
      </w:r>
      <w:r w:rsidR="0025259B">
        <w:instrText xml:space="preserve"> XE "Petroleum Act 1998" </w:instrText>
      </w:r>
      <w:r w:rsidR="0025259B">
        <w:fldChar w:fldCharType="end"/>
      </w:r>
      <w:r w:rsidR="00232DA0">
        <w:t xml:space="preserve"> gives </w:t>
      </w:r>
      <w:r>
        <w:t xml:space="preserve">the </w:t>
      </w:r>
      <w:r w:rsidR="00B830D6">
        <w:t>OGA</w:t>
      </w:r>
      <w:r w:rsidR="00486AE6">
        <w:t xml:space="preserve"> </w:t>
      </w:r>
      <w:r w:rsidR="00232DA0">
        <w:t>discretion</w:t>
      </w:r>
      <w:r w:rsidR="00732144">
        <w:fldChar w:fldCharType="begin"/>
      </w:r>
      <w:r w:rsidR="00232DA0">
        <w:instrText xml:space="preserve"> XE "</w:instrText>
      </w:r>
      <w:r w:rsidR="00B830D6">
        <w:instrText>THE OGA</w:instrText>
      </w:r>
      <w:r w:rsidR="00232DA0">
        <w:instrText xml:space="preserve">'s discretion" </w:instrText>
      </w:r>
      <w:r w:rsidR="00732144">
        <w:fldChar w:fldCharType="end"/>
      </w:r>
      <w:r w:rsidR="00232DA0">
        <w:t xml:space="preserve"> in deciding whether or not to issue a licence; and if so, to whom and on what conditions. </w:t>
      </w:r>
      <w:r w:rsidR="003634C5">
        <w:t xml:space="preserve">However, </w:t>
      </w:r>
      <w:r w:rsidR="00B830D6">
        <w:t>the OGA</w:t>
      </w:r>
      <w:r w:rsidR="003634C5">
        <w:t xml:space="preserve"> must </w:t>
      </w:r>
      <w:r w:rsidR="00E76C73">
        <w:t xml:space="preserve">where applicable </w:t>
      </w:r>
      <w:r w:rsidR="002B517E">
        <w:t>exercise its discretion</w:t>
      </w:r>
      <w:r w:rsidR="003634C5">
        <w:t xml:space="preserve"> in accordance with the principal objective of MER UK and the current </w:t>
      </w:r>
      <w:r w:rsidR="00E76C73">
        <w:t xml:space="preserve">MER UK </w:t>
      </w:r>
      <w:r w:rsidR="003634C5">
        <w:t>strategy</w:t>
      </w:r>
      <w:r w:rsidR="003634C5">
        <w:rPr>
          <w:rStyle w:val="FootnoteReference"/>
        </w:rPr>
        <w:footnoteReference w:id="23"/>
      </w:r>
      <w:r w:rsidR="003634C5">
        <w:t>.</w:t>
      </w:r>
      <w:r w:rsidR="00330EB8">
        <w:t xml:space="preserve"> </w:t>
      </w:r>
      <w:r w:rsidR="002517FC">
        <w:t>T</w:t>
      </w:r>
      <w:r w:rsidR="00B830D6">
        <w:t>he OGA</w:t>
      </w:r>
      <w:r w:rsidR="00330EB8">
        <w:t xml:space="preserve"> must also have regard to the factors set out at section 8 of the Energy Act 2016</w:t>
      </w:r>
      <w:r w:rsidR="00B87DED">
        <w:t>, so far as relevant</w:t>
      </w:r>
      <w:r w:rsidR="00330EB8">
        <w:t>.</w:t>
      </w:r>
    </w:p>
    <w:p w14:paraId="4BE71127" w14:textId="7FEA4194" w:rsidR="0083129D" w:rsidRDefault="0083129D" w:rsidP="00734C6C">
      <w:pPr>
        <w:pStyle w:val="BulletText"/>
      </w:pPr>
      <w:r>
        <w:t xml:space="preserve">Only </w:t>
      </w:r>
      <w:r w:rsidR="000D3D15">
        <w:t xml:space="preserve">applicants </w:t>
      </w:r>
      <w:r>
        <w:t xml:space="preserve">who pass </w:t>
      </w:r>
      <w:r w:rsidR="00467067">
        <w:t xml:space="preserve">the </w:t>
      </w:r>
      <w:r w:rsidR="00B830D6">
        <w:t>OGA</w:t>
      </w:r>
      <w:r w:rsidR="000D3D15">
        <w:t xml:space="preserve">’s financial criteria and standards of operatorship, and </w:t>
      </w:r>
      <w:r w:rsidR="002517FC">
        <w:t xml:space="preserve">the requirements of the Offshore Safety Directive </w:t>
      </w:r>
      <w:r>
        <w:t>can be considered for award of a Production Licence.</w:t>
      </w:r>
    </w:p>
    <w:p w14:paraId="4BE71128" w14:textId="70BA995C" w:rsidR="003B5279" w:rsidRDefault="0083129D" w:rsidP="00734C6C">
      <w:pPr>
        <w:pStyle w:val="BulletText"/>
      </w:pPr>
      <w:r>
        <w:t xml:space="preserve">Where two or more applicants who have applied for the same acreage all meet </w:t>
      </w:r>
      <w:r w:rsidR="0055204E">
        <w:t xml:space="preserve">the </w:t>
      </w:r>
      <w:r w:rsidR="00B830D6">
        <w:t>OGA</w:t>
      </w:r>
      <w:r w:rsidR="000D3D15">
        <w:t xml:space="preserve">’s </w:t>
      </w:r>
      <w:r>
        <w:t xml:space="preserve">criteria, </w:t>
      </w:r>
      <w:r w:rsidR="0055204E">
        <w:t xml:space="preserve">the </w:t>
      </w:r>
      <w:r w:rsidR="00B830D6">
        <w:t>OGA</w:t>
      </w:r>
      <w:r w:rsidR="000D3D15">
        <w:t xml:space="preserve">’s </w:t>
      </w:r>
      <w:r>
        <w:t>geos</w:t>
      </w:r>
      <w:r w:rsidR="005767E2">
        <w:t>cientists</w:t>
      </w:r>
      <w:r>
        <w:t xml:space="preserve"> will make a recommendation of award after </w:t>
      </w:r>
      <w:r w:rsidR="00CA59C5">
        <w:t xml:space="preserve">evaluating </w:t>
      </w:r>
      <w:r>
        <w:t>the</w:t>
      </w:r>
      <w:r w:rsidR="009257FC">
        <w:t xml:space="preserve"> respective</w:t>
      </w:r>
      <w:r>
        <w:t xml:space="preserve"> geotechnical submissions. (In practice, </w:t>
      </w:r>
      <w:r w:rsidR="0055204E">
        <w:t xml:space="preserve">the </w:t>
      </w:r>
      <w:r w:rsidR="00B830D6">
        <w:t>OGA</w:t>
      </w:r>
      <w:r w:rsidR="000D3D15">
        <w:t xml:space="preserve"> </w:t>
      </w:r>
      <w:r>
        <w:t xml:space="preserve">will start arranging interviews without waiting to see the results of the financial and operatorship checks, so </w:t>
      </w:r>
      <w:r w:rsidR="00467067">
        <w:t xml:space="preserve">applicants should not assume that an invitation </w:t>
      </w:r>
      <w:r w:rsidR="00942408">
        <w:t>to interview impl</w:t>
      </w:r>
      <w:r w:rsidR="00467067">
        <w:t>ies</w:t>
      </w:r>
      <w:r w:rsidR="00942408">
        <w:t xml:space="preserve"> that those criteria have been satisfied</w:t>
      </w:r>
      <w:r>
        <w:t>.)</w:t>
      </w:r>
      <w:r w:rsidR="009257FC">
        <w:t xml:space="preserve"> The</w:t>
      </w:r>
      <w:r w:rsidR="00DB66CF">
        <w:t xml:space="preserve"> assessors</w:t>
      </w:r>
      <w:r w:rsidR="009257FC">
        <w:t xml:space="preserve"> will base their decisions </w:t>
      </w:r>
      <w:r w:rsidR="00232DA0">
        <w:t xml:space="preserve">on the technical understanding demonstrated by </w:t>
      </w:r>
      <w:r w:rsidR="00107030">
        <w:t xml:space="preserve">the </w:t>
      </w:r>
      <w:r w:rsidR="00003503">
        <w:t>a</w:t>
      </w:r>
      <w:r w:rsidR="00107030">
        <w:t>pplicant</w:t>
      </w:r>
      <w:r w:rsidR="00232DA0">
        <w:t xml:space="preserve">, the generation of valid </w:t>
      </w:r>
      <w:proofErr w:type="spellStart"/>
      <w:r w:rsidR="00232DA0">
        <w:t>prospectivity</w:t>
      </w:r>
      <w:proofErr w:type="spellEnd"/>
      <w:r w:rsidR="000A551E">
        <w:t xml:space="preserve"> derived from evaluation of available data</w:t>
      </w:r>
      <w:r w:rsidR="00232DA0">
        <w:t xml:space="preserve">, the quality of the work that it has already </w:t>
      </w:r>
      <w:r w:rsidR="00DB66CF">
        <w:t>carried out</w:t>
      </w:r>
      <w:r w:rsidR="00232DA0">
        <w:t xml:space="preserve">, and the proposed Work Programme. Applications will be marked against these criteria according to a predefined </w:t>
      </w:r>
      <w:hyperlink w:anchor="_Annexe_2:_The" w:history="1">
        <w:r w:rsidR="00232DA0" w:rsidRPr="005D658C">
          <w:t>Marks Scheme</w:t>
        </w:r>
      </w:hyperlink>
      <w:r w:rsidR="00D20BB0">
        <w:t>,</w:t>
      </w:r>
      <w:r w:rsidR="00732144">
        <w:fldChar w:fldCharType="begin"/>
      </w:r>
      <w:r w:rsidR="00232DA0">
        <w:instrText xml:space="preserve"> XE "Marks Scheme" </w:instrText>
      </w:r>
      <w:r w:rsidR="00732144">
        <w:fldChar w:fldCharType="end"/>
      </w:r>
      <w:r w:rsidR="00232DA0">
        <w:t xml:space="preserve"> and award will normally be made to </w:t>
      </w:r>
      <w:r w:rsidR="00107030">
        <w:t xml:space="preserve">the </w:t>
      </w:r>
      <w:r w:rsidR="00003503">
        <w:t>a</w:t>
      </w:r>
      <w:r w:rsidR="00107030">
        <w:t>pplicant</w:t>
      </w:r>
      <w:r w:rsidR="00232DA0">
        <w:t xml:space="preserve"> with the highest mark.</w:t>
      </w:r>
    </w:p>
    <w:p w14:paraId="4BE71129" w14:textId="77777777" w:rsidR="003B5279" w:rsidRDefault="00232DA0" w:rsidP="00734C6C">
      <w:pPr>
        <w:pStyle w:val="BulletText"/>
      </w:pPr>
      <w:r>
        <w:t xml:space="preserve">In some cases, </w:t>
      </w:r>
      <w:r w:rsidR="0055204E">
        <w:t xml:space="preserve">the </w:t>
      </w:r>
      <w:r w:rsidR="00B830D6">
        <w:t>OGA</w:t>
      </w:r>
      <w:r w:rsidR="00486AE6">
        <w:t xml:space="preserve"> </w:t>
      </w:r>
      <w:r>
        <w:t xml:space="preserve">may consider that additional factors that are not covered by, or amenable to, the Marks Scheme are relevant to the achievement of </w:t>
      </w:r>
      <w:r w:rsidR="00496FAA">
        <w:t xml:space="preserve">its </w:t>
      </w:r>
      <w:r w:rsidR="000934E4">
        <w:t>policy</w:t>
      </w:r>
      <w:r>
        <w:t>. Examples could include:</w:t>
      </w:r>
    </w:p>
    <w:p w14:paraId="4BE7112A" w14:textId="77777777" w:rsidR="00232DA0" w:rsidRDefault="00107030" w:rsidP="00003503">
      <w:pPr>
        <w:pStyle w:val="BulletText"/>
        <w:numPr>
          <w:ilvl w:val="1"/>
          <w:numId w:val="2"/>
        </w:numPr>
      </w:pPr>
      <w:r>
        <w:t xml:space="preserve">the </w:t>
      </w:r>
      <w:r w:rsidR="003B172B">
        <w:t>applicant</w:t>
      </w:r>
      <w:r w:rsidR="00232DA0">
        <w:t>’s track record on the completion of Work Programmes</w:t>
      </w:r>
      <w:r w:rsidR="006E466C">
        <w:t>;</w:t>
      </w:r>
    </w:p>
    <w:p w14:paraId="4BE7112B" w14:textId="419A576E" w:rsidR="001D7905" w:rsidRDefault="00107030" w:rsidP="00003503">
      <w:pPr>
        <w:pStyle w:val="BulletText"/>
        <w:numPr>
          <w:ilvl w:val="1"/>
          <w:numId w:val="2"/>
        </w:numPr>
      </w:pPr>
      <w:r>
        <w:t xml:space="preserve">the </w:t>
      </w:r>
      <w:r w:rsidR="003B172B">
        <w:t>applicant</w:t>
      </w:r>
      <w:r w:rsidR="00232DA0">
        <w:t xml:space="preserve">’s track record of performance, such as activity on </w:t>
      </w:r>
      <w:r w:rsidR="00290321">
        <w:t xml:space="preserve">the management of </w:t>
      </w:r>
      <w:r w:rsidR="00232DA0">
        <w:t xml:space="preserve">suspended wells </w:t>
      </w:r>
      <w:r w:rsidR="002517FC">
        <w:t>and asset stewardship</w:t>
      </w:r>
      <w:r w:rsidR="006E466C">
        <w:t>;</w:t>
      </w:r>
      <w:r w:rsidR="00232DA0">
        <w:t xml:space="preserve"> </w:t>
      </w:r>
    </w:p>
    <w:p w14:paraId="4BE7112C" w14:textId="77777777" w:rsidR="009257FC" w:rsidRDefault="00232DA0" w:rsidP="00003503">
      <w:pPr>
        <w:pStyle w:val="BulletText"/>
        <w:numPr>
          <w:ilvl w:val="1"/>
          <w:numId w:val="2"/>
        </w:numPr>
      </w:pPr>
      <w:r>
        <w:t xml:space="preserve">cases where direct comparison between competing applications is difficult, such as </w:t>
      </w:r>
      <w:r w:rsidR="009257FC">
        <w:t>those</w:t>
      </w:r>
      <w:r>
        <w:t xml:space="preserve"> where the geographical coverage and geological focus is different</w:t>
      </w:r>
      <w:r w:rsidR="00DC5C12">
        <w:t xml:space="preserve">, or </w:t>
      </w:r>
      <w:r w:rsidR="00DC5C12">
        <w:lastRenderedPageBreak/>
        <w:t>where</w:t>
      </w:r>
      <w:r>
        <w:t xml:space="preserve"> competing Work Programmes offer a choice between a </w:t>
      </w:r>
      <w:hyperlink w:anchor="ProspectDefinition" w:history="1">
        <w:r w:rsidRPr="009257FC">
          <w:t>prospect</w:t>
        </w:r>
      </w:hyperlink>
      <w:r w:rsidR="001D7905">
        <w:t>-</w:t>
      </w:r>
      <w:r>
        <w:t>specific investigation and a wider area investigation</w:t>
      </w:r>
      <w:r w:rsidR="009257FC">
        <w:t>.</w:t>
      </w:r>
    </w:p>
    <w:p w14:paraId="4BE7112D" w14:textId="77777777" w:rsidR="003B5279" w:rsidRDefault="0055204E" w:rsidP="00734C6C">
      <w:pPr>
        <w:pStyle w:val="BulletText"/>
      </w:pPr>
      <w:r>
        <w:t xml:space="preserve">The </w:t>
      </w:r>
      <w:r w:rsidR="00B830D6">
        <w:t>OGA</w:t>
      </w:r>
      <w:r w:rsidR="00343475">
        <w:t xml:space="preserve"> </w:t>
      </w:r>
      <w:r w:rsidR="00232DA0">
        <w:t>may accommodate s</w:t>
      </w:r>
      <w:r w:rsidR="001D7905">
        <w:t>uch</w:t>
      </w:r>
      <w:r w:rsidR="00232DA0">
        <w:t xml:space="preserve"> factors by:</w:t>
      </w:r>
    </w:p>
    <w:p w14:paraId="4BE7112E" w14:textId="072FB85D" w:rsidR="00232DA0" w:rsidRDefault="00E76C73" w:rsidP="00003503">
      <w:pPr>
        <w:pStyle w:val="BulletText"/>
        <w:numPr>
          <w:ilvl w:val="1"/>
          <w:numId w:val="2"/>
        </w:numPr>
      </w:pPr>
      <w:r>
        <w:t xml:space="preserve">suggesting </w:t>
      </w:r>
      <w:r w:rsidR="001C763C">
        <w:t>that</w:t>
      </w:r>
      <w:r w:rsidR="00496FAA">
        <w:t xml:space="preserve"> competing applicants agree to become one licensee</w:t>
      </w:r>
      <w:r w:rsidR="00232DA0">
        <w:t xml:space="preserve"> </w:t>
      </w:r>
      <w:r w:rsidR="0096124D">
        <w:t>(</w:t>
      </w:r>
      <w:r w:rsidR="00232DA0">
        <w:t>a “marriage</w:t>
      </w:r>
      <w:r w:rsidR="00732144">
        <w:fldChar w:fldCharType="begin"/>
      </w:r>
      <w:r w:rsidR="00327B1D">
        <w:instrText xml:space="preserve"> XE "</w:instrText>
      </w:r>
      <w:r w:rsidR="00327B1D" w:rsidRPr="007B3AEF">
        <w:instrText>Marriages</w:instrText>
      </w:r>
      <w:r w:rsidR="00327B1D">
        <w:instrText xml:space="preserve">" </w:instrText>
      </w:r>
      <w:r w:rsidR="00732144">
        <w:fldChar w:fldCharType="end"/>
      </w:r>
      <w:r w:rsidR="00232DA0">
        <w:t>”</w:t>
      </w:r>
      <w:r w:rsidR="0096124D">
        <w:t>)</w:t>
      </w:r>
      <w:r w:rsidR="00232DA0">
        <w:t>;</w:t>
      </w:r>
      <w:r w:rsidR="00003503">
        <w:t xml:space="preserve"> </w:t>
      </w:r>
      <w:r w:rsidR="00DD0055">
        <w:t>or</w:t>
      </w:r>
    </w:p>
    <w:p w14:paraId="4BE7112F" w14:textId="77777777" w:rsidR="00232DA0" w:rsidRDefault="00232DA0" w:rsidP="00003503">
      <w:pPr>
        <w:pStyle w:val="BulletText"/>
        <w:numPr>
          <w:ilvl w:val="1"/>
          <w:numId w:val="2"/>
        </w:numPr>
      </w:pPr>
      <w:r>
        <w:t xml:space="preserve">splitting applications for competing acreage so that each </w:t>
      </w:r>
      <w:r w:rsidR="001D7905">
        <w:t>applicant</w:t>
      </w:r>
      <w:r>
        <w:t xml:space="preserve"> receives the areas that </w:t>
      </w:r>
      <w:r w:rsidR="001D7905">
        <w:t xml:space="preserve">it is </w:t>
      </w:r>
      <w:r w:rsidR="00003503">
        <w:t>focused on.</w:t>
      </w:r>
    </w:p>
    <w:p w14:paraId="4BE71130" w14:textId="77777777" w:rsidR="003B5279" w:rsidRDefault="00467067" w:rsidP="00734C6C">
      <w:pPr>
        <w:pStyle w:val="BulletText"/>
      </w:pPr>
      <w:r>
        <w:t xml:space="preserve">The </w:t>
      </w:r>
      <w:r w:rsidR="00B830D6">
        <w:t>OGA</w:t>
      </w:r>
      <w:r w:rsidR="00343475">
        <w:t xml:space="preserve"> </w:t>
      </w:r>
      <w:r w:rsidR="00232DA0">
        <w:t>may suggest a marriage</w:t>
      </w:r>
      <w:r w:rsidR="00732144">
        <w:fldChar w:fldCharType="begin"/>
      </w:r>
      <w:r w:rsidR="00232DA0">
        <w:instrText xml:space="preserve"> XE "Marriages" </w:instrText>
      </w:r>
      <w:r w:rsidR="00732144">
        <w:fldChar w:fldCharType="end"/>
      </w:r>
      <w:r w:rsidR="00232DA0">
        <w:t xml:space="preserve"> between competing applicants where their interests</w:t>
      </w:r>
      <w:r w:rsidR="00003503">
        <w:t xml:space="preserve"> and</w:t>
      </w:r>
      <w:r w:rsidR="00232DA0">
        <w:t xml:space="preserve"> expertise are complementary </w:t>
      </w:r>
      <w:r w:rsidR="00003503">
        <w:t xml:space="preserve">and </w:t>
      </w:r>
      <w:r w:rsidR="005859E0">
        <w:t>the</w:t>
      </w:r>
      <w:r w:rsidR="00003503">
        <w:t xml:space="preserve">ir applications </w:t>
      </w:r>
      <w:r w:rsidR="00232DA0">
        <w:t>cannot be separated geographically. However</w:t>
      </w:r>
      <w:r w:rsidR="00003503">
        <w:t>,</w:t>
      </w:r>
      <w:r w:rsidR="00232DA0">
        <w:t xml:space="preserve"> it remains up to the companies to make the marriage and agree on terms. Part of the process will be to agree on a Work Programme, which must be acceptable to </w:t>
      </w:r>
      <w:r>
        <w:t xml:space="preserve">the </w:t>
      </w:r>
      <w:r w:rsidR="00B830D6">
        <w:t>OGA</w:t>
      </w:r>
      <w:r w:rsidR="00232DA0">
        <w:t>.</w:t>
      </w:r>
      <w:r w:rsidR="00232DA0" w:rsidRPr="005D658C">
        <w:t xml:space="preserve"> </w:t>
      </w:r>
      <w:r w:rsidR="00232DA0">
        <w:t xml:space="preserve">If </w:t>
      </w:r>
      <w:r w:rsidR="00496FAA">
        <w:t xml:space="preserve">applicants </w:t>
      </w:r>
      <w:r w:rsidR="00232DA0">
        <w:t xml:space="preserve">are unable or unwilling to marry, </w:t>
      </w:r>
      <w:r>
        <w:t xml:space="preserve">the </w:t>
      </w:r>
      <w:r w:rsidR="00B830D6">
        <w:t>OGA</w:t>
      </w:r>
      <w:r w:rsidR="00343475">
        <w:t xml:space="preserve"> </w:t>
      </w:r>
      <w:r w:rsidR="00232DA0">
        <w:t xml:space="preserve">will choose </w:t>
      </w:r>
      <w:r w:rsidR="00A27CBA">
        <w:t>the winner from among them</w:t>
      </w:r>
      <w:r w:rsidR="00232DA0">
        <w:t xml:space="preserve">. </w:t>
      </w:r>
    </w:p>
    <w:p w14:paraId="4BE71131" w14:textId="5918FE49" w:rsidR="00467067" w:rsidRDefault="002517FC" w:rsidP="00734C6C">
      <w:pPr>
        <w:pStyle w:val="BulletText"/>
      </w:pPr>
      <w:r>
        <w:t>In the case of applications for Landward licences, the</w:t>
      </w:r>
      <w:r w:rsidR="00B830D6">
        <w:t xml:space="preserve"> OGA</w:t>
      </w:r>
      <w:r w:rsidR="0025259B">
        <w:t xml:space="preserve"> may discuss applications with the Coal Authority, especially those from applicants who are proposing coal-related projects.</w:t>
      </w:r>
      <w:r w:rsidR="0025259B" w:rsidDel="0025259B">
        <w:t xml:space="preserve"> </w:t>
      </w:r>
    </w:p>
    <w:p w14:paraId="4BE71132" w14:textId="77777777" w:rsidR="006947EF" w:rsidRDefault="00467067" w:rsidP="00734C6C">
      <w:pPr>
        <w:pStyle w:val="BulletText"/>
      </w:pPr>
      <w:r>
        <w:t xml:space="preserve">The </w:t>
      </w:r>
      <w:r w:rsidR="00B830D6">
        <w:t>OGA</w:t>
      </w:r>
      <w:r w:rsidR="00343475">
        <w:t xml:space="preserve"> </w:t>
      </w:r>
      <w:r w:rsidR="00003503">
        <w:t xml:space="preserve">will not </w:t>
      </w:r>
      <w:r w:rsidR="006947EF">
        <w:t>consider applications where material information has been withheld.</w:t>
      </w:r>
    </w:p>
    <w:p w14:paraId="4BE71133" w14:textId="2EE022DE" w:rsidR="00A1109D" w:rsidRDefault="00467067" w:rsidP="00500AE7">
      <w:pPr>
        <w:pStyle w:val="BulletText"/>
      </w:pPr>
      <w:r>
        <w:t xml:space="preserve">The </w:t>
      </w:r>
      <w:r w:rsidR="00B830D6">
        <w:t>OGA</w:t>
      </w:r>
      <w:r w:rsidR="00A1109D">
        <w:t xml:space="preserve"> may decide that </w:t>
      </w:r>
      <w:r w:rsidR="00003503">
        <w:t xml:space="preserve">no </w:t>
      </w:r>
      <w:r w:rsidR="00F67EEA">
        <w:t xml:space="preserve">possible award would serve the objective of MER UK and therefore </w:t>
      </w:r>
      <w:r w:rsidR="00A1109D">
        <w:t>not award a Licence at all</w:t>
      </w:r>
      <w:r w:rsidR="00500AE7">
        <w:t>.</w:t>
      </w:r>
    </w:p>
    <w:p w14:paraId="4BE71134" w14:textId="77777777" w:rsidR="005D658C" w:rsidRDefault="00467067" w:rsidP="00734C6C">
      <w:pPr>
        <w:pStyle w:val="BulletText"/>
      </w:pPr>
      <w:r>
        <w:t xml:space="preserve">The </w:t>
      </w:r>
      <w:r w:rsidR="00B830D6">
        <w:t>OGA</w:t>
      </w:r>
      <w:r w:rsidR="00003503">
        <w:t xml:space="preserve"> </w:t>
      </w:r>
      <w:r w:rsidR="00A27CBA">
        <w:t xml:space="preserve">will not award </w:t>
      </w:r>
      <w:r w:rsidR="005D658C">
        <w:t xml:space="preserve">marks </w:t>
      </w:r>
      <w:r w:rsidR="00A27CBA">
        <w:t xml:space="preserve">for </w:t>
      </w:r>
      <w:r w:rsidR="005D658C">
        <w:t xml:space="preserve">CCS, methane storage or any other proposed </w:t>
      </w:r>
      <w:r w:rsidR="00A27CBA">
        <w:t>non-licensable plans</w:t>
      </w:r>
      <w:r w:rsidR="005D658C">
        <w:t xml:space="preserve">. </w:t>
      </w:r>
    </w:p>
    <w:p w14:paraId="4BE71135" w14:textId="411834F2" w:rsidR="00846A5B" w:rsidRDefault="00846A5B" w:rsidP="00846A5B">
      <w:pPr>
        <w:pStyle w:val="BulletText"/>
      </w:pPr>
      <w:r>
        <w:t xml:space="preserve">Licences will only be offered if, in accordance with the Habitats </w:t>
      </w:r>
      <w:r w:rsidR="005312C7">
        <w:t xml:space="preserve">Directive </w:t>
      </w:r>
      <w:r w:rsidR="003F11E7">
        <w:t xml:space="preserve">and Birds </w:t>
      </w:r>
      <w:r>
        <w:t>Directive (Council Directive 92/43/EEC on the conservation of natural habitats and of wild fauna and flora</w:t>
      </w:r>
      <w:r w:rsidR="003F11E7">
        <w:t xml:space="preserve"> and Council Directive 2009/147/EC on the conservation of wild birds</w:t>
      </w:r>
      <w:r>
        <w:t xml:space="preserve">):  </w:t>
      </w:r>
    </w:p>
    <w:p w14:paraId="4BE71136" w14:textId="240D7C1A" w:rsidR="00846A5B" w:rsidRDefault="00846A5B" w:rsidP="00846A5B">
      <w:pPr>
        <w:pStyle w:val="BulletText"/>
        <w:numPr>
          <w:ilvl w:val="0"/>
          <w:numId w:val="0"/>
        </w:numPr>
        <w:ind w:left="720"/>
      </w:pPr>
      <w:r>
        <w:t>(a) the activities to be carried out under the licence are not likely to have a significant effect on the management of a Special Area of Conservation</w:t>
      </w:r>
      <w:r w:rsidR="00412E75">
        <w:t xml:space="preserve"> </w:t>
      </w:r>
      <w:r>
        <w:t xml:space="preserve">(SAC) or Special Protection Area (SPA), or if </w:t>
      </w:r>
    </w:p>
    <w:p w14:paraId="4BE71137" w14:textId="77777777" w:rsidR="00846A5B" w:rsidRDefault="00846A5B" w:rsidP="00846A5B">
      <w:pPr>
        <w:pStyle w:val="BulletText"/>
        <w:numPr>
          <w:ilvl w:val="0"/>
          <w:numId w:val="0"/>
        </w:numPr>
        <w:ind w:left="720"/>
      </w:pPr>
      <w:r>
        <w:t xml:space="preserve">(b) an Appropriate Assessment has ascertained that the activities will have no adverse effects on the integrity of such SACs or SPAs; or </w:t>
      </w:r>
    </w:p>
    <w:p w14:paraId="4BE71138" w14:textId="77777777" w:rsidR="00846A5B" w:rsidRDefault="00846A5B" w:rsidP="00846A5B">
      <w:pPr>
        <w:pStyle w:val="BulletText"/>
        <w:numPr>
          <w:ilvl w:val="0"/>
          <w:numId w:val="0"/>
        </w:numPr>
        <w:ind w:left="720"/>
      </w:pPr>
      <w:r>
        <w:t xml:space="preserve">(c) in a case where the activities are assessed as likely to cause such adverse effects, subject to </w:t>
      </w:r>
    </w:p>
    <w:p w14:paraId="4BE71139" w14:textId="77777777" w:rsidR="00846A5B" w:rsidRDefault="00846A5B" w:rsidP="00846A5B">
      <w:pPr>
        <w:pStyle w:val="BulletText"/>
        <w:numPr>
          <w:ilvl w:val="0"/>
          <w:numId w:val="0"/>
        </w:numPr>
        <w:ind w:left="1440"/>
      </w:pPr>
      <w:r>
        <w:t>(</w:t>
      </w:r>
      <w:proofErr w:type="spellStart"/>
      <w:r>
        <w:t>i</w:t>
      </w:r>
      <w:proofErr w:type="spellEnd"/>
      <w:r>
        <w:t xml:space="preserve">) there being imperative reasons of overriding public interest for awarding the licence, </w:t>
      </w:r>
    </w:p>
    <w:p w14:paraId="4BE7113A" w14:textId="77777777" w:rsidR="00846A5B" w:rsidRDefault="00846A5B" w:rsidP="00846A5B">
      <w:pPr>
        <w:pStyle w:val="BulletText"/>
        <w:numPr>
          <w:ilvl w:val="0"/>
          <w:numId w:val="0"/>
        </w:numPr>
        <w:ind w:left="1440"/>
      </w:pPr>
      <w:r>
        <w:t xml:space="preserve">(ii) the taking of appropriate compensatory measures, and </w:t>
      </w:r>
    </w:p>
    <w:p w14:paraId="4BE7113B" w14:textId="77777777" w:rsidR="00846A5B" w:rsidRDefault="00846A5B" w:rsidP="00846A5B">
      <w:pPr>
        <w:pStyle w:val="BulletText"/>
        <w:numPr>
          <w:ilvl w:val="0"/>
          <w:numId w:val="0"/>
        </w:numPr>
        <w:ind w:left="1440"/>
      </w:pPr>
      <w:r>
        <w:t>(iii) there being no alternative solutions.</w:t>
      </w:r>
    </w:p>
    <w:p w14:paraId="4BE7113C" w14:textId="77777777" w:rsidR="00232DA0" w:rsidRDefault="00232DA0">
      <w:pPr>
        <w:pStyle w:val="Heading3"/>
      </w:pPr>
      <w:bookmarkStart w:id="22" w:name="_Toc484787684"/>
      <w:r>
        <w:lastRenderedPageBreak/>
        <w:t>Transparency</w:t>
      </w:r>
      <w:bookmarkEnd w:id="22"/>
      <w:r w:rsidR="00732144">
        <w:fldChar w:fldCharType="begin"/>
      </w:r>
      <w:r>
        <w:instrText xml:space="preserve"> XE "Transparency" </w:instrText>
      </w:r>
      <w:r w:rsidR="00732144">
        <w:fldChar w:fldCharType="end"/>
      </w:r>
    </w:p>
    <w:p w14:paraId="4BE7113D" w14:textId="77777777" w:rsidR="00232DA0" w:rsidRDefault="00232DA0" w:rsidP="00BC1BBD">
      <w:pPr>
        <w:pStyle w:val="IntroPara"/>
        <w:spacing w:before="240"/>
      </w:pPr>
      <w:r>
        <w:t xml:space="preserve">Applicants may need to include commercially-sensitive information in their applications, such as financial forecasts and proprietary data. </w:t>
      </w:r>
      <w:r w:rsidR="00855BAB">
        <w:t>The</w:t>
      </w:r>
      <w:r w:rsidR="00B830D6">
        <w:t xml:space="preserve"> OGA</w:t>
      </w:r>
      <w:r w:rsidR="005F372D">
        <w:t xml:space="preserve"> </w:t>
      </w:r>
      <w:r>
        <w:t>will handle any such information in accordance with the Freedom of Information Act 2000</w:t>
      </w:r>
      <w:r w:rsidR="00124297">
        <w:t>,</w:t>
      </w:r>
      <w:r w:rsidR="00124297" w:rsidRPr="00124297">
        <w:t xml:space="preserve"> Environmental Information Regulations 2004</w:t>
      </w:r>
      <w:r w:rsidR="00124297">
        <w:t xml:space="preserve"> </w:t>
      </w:r>
      <w:r w:rsidR="00BC1BBD">
        <w:t xml:space="preserve">(2004/3391) </w:t>
      </w:r>
      <w:r w:rsidR="00124297">
        <w:t>and</w:t>
      </w:r>
      <w:r w:rsidR="00124297" w:rsidRPr="00124297">
        <w:t xml:space="preserve"> </w:t>
      </w:r>
      <w:r w:rsidR="00467067">
        <w:t xml:space="preserve">the </w:t>
      </w:r>
      <w:r w:rsidR="00124297" w:rsidRPr="00124297">
        <w:t>Data Protection Act 1998</w:t>
      </w:r>
      <w:r>
        <w:t xml:space="preserve"> and other relevant law, which take full cognisance of issues of transparency and confidentiality</w:t>
      </w:r>
      <w:r w:rsidR="00732144">
        <w:fldChar w:fldCharType="begin"/>
      </w:r>
      <w:r w:rsidR="00E75808">
        <w:instrText xml:space="preserve"> XE "</w:instrText>
      </w:r>
      <w:r w:rsidR="00E75808" w:rsidRPr="00EE0550">
        <w:instrText>Confidentiality</w:instrText>
      </w:r>
      <w:r w:rsidR="00E75808">
        <w:instrText xml:space="preserve">" </w:instrText>
      </w:r>
      <w:r w:rsidR="00732144">
        <w:fldChar w:fldCharType="end"/>
      </w:r>
      <w:r>
        <w:t>.</w:t>
      </w:r>
    </w:p>
    <w:p w14:paraId="4BE7113E" w14:textId="08F62CDC" w:rsidR="003B5279" w:rsidRDefault="00467067" w:rsidP="00734C6C">
      <w:pPr>
        <w:pStyle w:val="BulletText"/>
      </w:pPr>
      <w:r>
        <w:t xml:space="preserve">The </w:t>
      </w:r>
      <w:r w:rsidR="00B830D6">
        <w:t>OGA</w:t>
      </w:r>
      <w:r w:rsidR="003B172B">
        <w:t xml:space="preserve"> </w:t>
      </w:r>
      <w:r w:rsidR="00BA2A22">
        <w:t>treat</w:t>
      </w:r>
      <w:r w:rsidR="003B172B">
        <w:t>s</w:t>
      </w:r>
      <w:r w:rsidR="00BA2A22">
        <w:t xml:space="preserve"> applications as </w:t>
      </w:r>
      <w:r w:rsidR="00452069">
        <w:t xml:space="preserve">confidential </w:t>
      </w:r>
      <w:r w:rsidR="00BA2A22">
        <w:t>until decision</w:t>
      </w:r>
      <w:r w:rsidR="003B172B">
        <w:t>s have been announced</w:t>
      </w:r>
      <w:r>
        <w:t xml:space="preserve"> because of the competitive aspect of awards</w:t>
      </w:r>
      <w:r w:rsidR="00BA2A22">
        <w:t xml:space="preserve">. </w:t>
      </w:r>
      <w:r w:rsidR="00232DA0">
        <w:t>A</w:t>
      </w:r>
      <w:r w:rsidR="00BA2A22">
        <w:t>fter that</w:t>
      </w:r>
      <w:r w:rsidR="003B172B">
        <w:t>,</w:t>
      </w:r>
      <w:r w:rsidR="00BA2A22">
        <w:t xml:space="preserve"> </w:t>
      </w:r>
      <w:r w:rsidR="00232DA0">
        <w:t xml:space="preserve">we publish the winning applicants’ </w:t>
      </w:r>
      <w:r w:rsidR="00452069">
        <w:t xml:space="preserve">names and </w:t>
      </w:r>
      <w:r w:rsidR="00232DA0">
        <w:t>marks</w:t>
      </w:r>
      <w:r w:rsidR="00BA2A22">
        <w:t>, and</w:t>
      </w:r>
      <w:r w:rsidR="008B2865">
        <w:t>,</w:t>
      </w:r>
      <w:r w:rsidR="00BA2A22">
        <w:t xml:space="preserve"> when a licence has been executed, we publish the licence document itself</w:t>
      </w:r>
      <w:r w:rsidR="00232DA0">
        <w:t xml:space="preserve">. We will also notify the </w:t>
      </w:r>
      <w:r w:rsidR="008F59CE">
        <w:t>unsuccessful</w:t>
      </w:r>
      <w:r w:rsidR="00232DA0">
        <w:t xml:space="preserve"> applicants of their marks for each Block. We are happy to talk to each </w:t>
      </w:r>
      <w:r w:rsidR="003B172B">
        <w:t>applicant</w:t>
      </w:r>
      <w:r w:rsidR="00232DA0">
        <w:t xml:space="preserve"> to discuss its application in more detail. </w:t>
      </w:r>
    </w:p>
    <w:p w14:paraId="4BE7113F" w14:textId="4CCF73DA" w:rsidR="003B5279" w:rsidRDefault="00B830D6" w:rsidP="00A8707B">
      <w:pPr>
        <w:pStyle w:val="BulletText"/>
      </w:pPr>
      <w:r>
        <w:t>T</w:t>
      </w:r>
      <w:r w:rsidR="00520A13">
        <w:t>he</w:t>
      </w:r>
      <w:r>
        <w:t xml:space="preserve"> OGA</w:t>
      </w:r>
      <w:r w:rsidR="005F372D">
        <w:t xml:space="preserve">’s </w:t>
      </w:r>
      <w:r w:rsidR="00BC56CA">
        <w:t xml:space="preserve">general </w:t>
      </w:r>
      <w:r w:rsidR="00232DA0">
        <w:t>policy is to maximise the availability of useful information about the UKCS</w:t>
      </w:r>
      <w:r w:rsidR="00486AE6">
        <w:t xml:space="preserve"> and </w:t>
      </w:r>
      <w:r w:rsidR="00232DA0" w:rsidRPr="00EE7E74">
        <w:t xml:space="preserve">will </w:t>
      </w:r>
      <w:r w:rsidR="00486AE6">
        <w:t xml:space="preserve">routinely </w:t>
      </w:r>
      <w:r w:rsidR="00232DA0" w:rsidRPr="00EE7E74">
        <w:t xml:space="preserve">require the submission of a short report when </w:t>
      </w:r>
      <w:r w:rsidR="00486AE6">
        <w:t xml:space="preserve">each </w:t>
      </w:r>
      <w:r w:rsidR="00232DA0" w:rsidRPr="00EE7E74">
        <w:t>licence terminates, summarising the work</w:t>
      </w:r>
      <w:r w:rsidR="00232DA0">
        <w:t xml:space="preserve"> done, </w:t>
      </w:r>
      <w:proofErr w:type="spellStart"/>
      <w:r w:rsidR="00232DA0">
        <w:t>prospectivity</w:t>
      </w:r>
      <w:proofErr w:type="spellEnd"/>
      <w:r w:rsidR="00232DA0">
        <w:t xml:space="preserve"> identified</w:t>
      </w:r>
      <w:r w:rsidR="008B2865">
        <w:t>,</w:t>
      </w:r>
      <w:r w:rsidR="00232DA0">
        <w:t xml:space="preserve"> and associated reserve estimates for the licensed area. </w:t>
      </w:r>
      <w:r>
        <w:t>T</w:t>
      </w:r>
      <w:r w:rsidR="00520A13">
        <w:t>he</w:t>
      </w:r>
      <w:r>
        <w:t xml:space="preserve"> OGA</w:t>
      </w:r>
      <w:r w:rsidR="002725AF">
        <w:t xml:space="preserve"> </w:t>
      </w:r>
      <w:r w:rsidR="00EC5206">
        <w:t xml:space="preserve">will </w:t>
      </w:r>
      <w:r w:rsidR="00232DA0">
        <w:t>publish this report</w:t>
      </w:r>
      <w:r w:rsidR="000D4606">
        <w:t>.</w:t>
      </w:r>
      <w:r w:rsidR="00A8707B" w:rsidRPr="00A8707B">
        <w:t xml:space="preserve"> </w:t>
      </w:r>
      <w:r w:rsidR="00A8707B">
        <w:t>Under current licence rules (and proposed new regulations under the Energy Act 2016)</w:t>
      </w:r>
      <w:r w:rsidR="000D4606">
        <w:t>,</w:t>
      </w:r>
      <w:r w:rsidR="00A8707B">
        <w:t xml:space="preserve"> the OGA may also publish other information at various times and allow access to physical samples.</w:t>
      </w:r>
    </w:p>
    <w:p w14:paraId="71A79C9F" w14:textId="77777777" w:rsidR="00A53819" w:rsidRDefault="00A53819" w:rsidP="00A53819">
      <w:pPr>
        <w:pStyle w:val="BulletText"/>
      </w:pPr>
      <w:r>
        <w:t>The OGA will publish a list of the names of all applicants for Production Licences and of their beneficial owners among other information whose publication is required by the Extractive Industries Transparency Initiative Standard.</w:t>
      </w:r>
    </w:p>
    <w:p w14:paraId="33B33ECF" w14:textId="0984F62C" w:rsidR="004829E2" w:rsidRDefault="004829E2" w:rsidP="003963F6">
      <w:pPr>
        <w:pStyle w:val="BulletText"/>
      </w:pPr>
      <w:r>
        <w:t xml:space="preserve">For the purposes of the Data Protection Act </w:t>
      </w:r>
      <w:r w:rsidRPr="00412E75">
        <w:t>2018</w:t>
      </w:r>
      <w:r>
        <w:t xml:space="preserve">, the OGA will hold the applicants’ contact details, including the names and email addresses of individuals who are the given company contact for licensing issues, and use them in communications relating to the application and in relation to administering any licence issued </w:t>
      </w:r>
      <w:proofErr w:type="gramStart"/>
      <w:r>
        <w:t>as a result of</w:t>
      </w:r>
      <w:proofErr w:type="gramEnd"/>
      <w:r>
        <w:t xml:space="preserve"> it. In the case of successful applications, this information will normally be made publicly available by the OGA. For example, the OGA will normally publish the details of </w:t>
      </w:r>
      <w:proofErr w:type="gramStart"/>
      <w:r>
        <w:t>the each</w:t>
      </w:r>
      <w:proofErr w:type="gramEnd"/>
      <w:r>
        <w:t xml:space="preserve"> company’s direct contact details on our website e.g. the contact person for licensing issues, and may </w:t>
      </w:r>
      <w:r w:rsidRPr="00412E75">
        <w:t xml:space="preserve">supply such information to companies or individuals wishing to contact that licensee purely in the interests of speed and efficiency for all parties concerned. Anyone who wishes to object to any of these uses of such information should make clear their objections, and the grounds for them, in their application. Please be advised that the success of an application is </w:t>
      </w:r>
      <w:r w:rsidRPr="00412E75">
        <w:rPr>
          <w:u w:val="single"/>
        </w:rPr>
        <w:t>not</w:t>
      </w:r>
      <w:r w:rsidRPr="00412E75">
        <w:t xml:space="preserve"> dependent on an applicant’s agreement to the condition of this information being published. Should an applicant raise valid objections, other arrangements will be made. Please indicate that you have read this paragraph and understand and accept its terms by ticking the box below. Should you have any objections to your contact details being published, please write them in the comments box below – otherwise leave it blank or state “no objection”.</w:t>
      </w:r>
    </w:p>
    <w:p w14:paraId="4BE71142" w14:textId="77777777" w:rsidR="00232DA0" w:rsidRDefault="00232DA0">
      <w:pPr>
        <w:pStyle w:val="Heading3"/>
      </w:pPr>
      <w:bookmarkStart w:id="23" w:name="_Out-of-round_applications"/>
      <w:bookmarkStart w:id="24" w:name="_Toc484787685"/>
      <w:bookmarkEnd w:id="23"/>
      <w:r>
        <w:lastRenderedPageBreak/>
        <w:t>Out-of-round applications</w:t>
      </w:r>
      <w:bookmarkEnd w:id="24"/>
      <w:r w:rsidR="00732144">
        <w:fldChar w:fldCharType="begin"/>
      </w:r>
      <w:r>
        <w:instrText xml:space="preserve"> XE "Out-of-round applications" </w:instrText>
      </w:r>
      <w:r w:rsidR="00732144">
        <w:fldChar w:fldCharType="end"/>
      </w:r>
    </w:p>
    <w:p w14:paraId="4BE71143" w14:textId="7241403B" w:rsidR="00232DA0" w:rsidRDefault="00232DA0">
      <w:pPr>
        <w:pStyle w:val="IntroPara"/>
      </w:pPr>
      <w:r>
        <w:t xml:space="preserve">The </w:t>
      </w:r>
      <w:proofErr w:type="gramStart"/>
      <w:r>
        <w:t>vast majority</w:t>
      </w:r>
      <w:proofErr w:type="gramEnd"/>
      <w:r>
        <w:t xml:space="preserve"> of applications are </w:t>
      </w:r>
      <w:r w:rsidR="00037CFF">
        <w:t>taken</w:t>
      </w:r>
      <w:r>
        <w:t xml:space="preserve"> in </w:t>
      </w:r>
      <w:r w:rsidR="00187D32">
        <w:t xml:space="preserve">regular </w:t>
      </w:r>
      <w:r>
        <w:t xml:space="preserve">Licensing Rounds. </w:t>
      </w:r>
      <w:r w:rsidR="00A53819">
        <w:t>Th</w:t>
      </w:r>
      <w:r w:rsidR="00520A13">
        <w:t>e</w:t>
      </w:r>
      <w:r w:rsidR="00B830D6">
        <w:t xml:space="preserve"> OGA</w:t>
      </w:r>
      <w:r w:rsidR="00396F69">
        <w:t xml:space="preserve"> </w:t>
      </w:r>
      <w:r>
        <w:t xml:space="preserve">may </w:t>
      </w:r>
      <w:r w:rsidR="00A53819">
        <w:t xml:space="preserve">also </w:t>
      </w:r>
      <w:r>
        <w:t xml:space="preserve">accept a </w:t>
      </w:r>
      <w:r w:rsidR="00187D32">
        <w:t xml:space="preserve">suggestion </w:t>
      </w:r>
      <w:r>
        <w:t xml:space="preserve">from a company that there are grounds for a one-off </w:t>
      </w:r>
      <w:r w:rsidR="00B17BC0">
        <w:t>Out-of-Round</w:t>
      </w:r>
      <w:r>
        <w:t xml:space="preserve"> application</w:t>
      </w:r>
      <w:r w:rsidR="00187D32">
        <w:t xml:space="preserve"> for a specific piece of acreage</w:t>
      </w:r>
      <w:r>
        <w:t xml:space="preserve">. </w:t>
      </w:r>
      <w:r w:rsidR="00187D32">
        <w:t xml:space="preserve">Once that decision has been made, an </w:t>
      </w:r>
      <w:r>
        <w:t>Out-of-Round application</w:t>
      </w:r>
      <w:r w:rsidR="00187D32">
        <w:t xml:space="preserve"> i</w:t>
      </w:r>
      <w:r>
        <w:t xml:space="preserve">s handled in the same way as </w:t>
      </w:r>
      <w:r w:rsidR="00037CFF">
        <w:t xml:space="preserve">during </w:t>
      </w:r>
      <w:r>
        <w:t xml:space="preserve">a </w:t>
      </w:r>
      <w:r w:rsidR="00187D32">
        <w:t xml:space="preserve">Licensing </w:t>
      </w:r>
      <w:r>
        <w:t>Round.</w:t>
      </w:r>
      <w:r w:rsidR="00343383">
        <w:t xml:space="preserve"> A</w:t>
      </w:r>
      <w:r w:rsidR="00335AFF">
        <w:t xml:space="preserve"> Seaward</w:t>
      </w:r>
      <w:r w:rsidR="00343383">
        <w:t xml:space="preserve"> Innovate Licence in these cases would be expected to </w:t>
      </w:r>
      <w:r w:rsidR="00BF3A64">
        <w:t xml:space="preserve">have an initial term </w:t>
      </w:r>
      <w:r w:rsidR="00343383">
        <w:t>of short duration, probably comprising Phase C (drilling)</w:t>
      </w:r>
      <w:r w:rsidR="007920E1">
        <w:t xml:space="preserve"> only</w:t>
      </w:r>
      <w:r w:rsidR="000E65CE">
        <w:t>, or a Straight-to Second Term Licence</w:t>
      </w:r>
      <w:r w:rsidR="007920E1">
        <w:t>.</w:t>
      </w:r>
      <w:r w:rsidR="00343383">
        <w:t xml:space="preserve">  </w:t>
      </w:r>
      <w:r>
        <w:t xml:space="preserve"> </w:t>
      </w:r>
    </w:p>
    <w:p w14:paraId="4BE71144" w14:textId="77777777" w:rsidR="003B5279" w:rsidRDefault="00232DA0" w:rsidP="00734C6C">
      <w:pPr>
        <w:pStyle w:val="BulletText"/>
      </w:pPr>
      <w:r>
        <w:t>This Guidance Note also applies to Out-of-Round applications, which are special cases covering a specific portion of acreage. The</w:t>
      </w:r>
      <w:r w:rsidR="00681FEE">
        <w:t xml:space="preserve">re are two </w:t>
      </w:r>
      <w:r>
        <w:t xml:space="preserve">differences </w:t>
      </w:r>
      <w:r w:rsidR="00681FEE">
        <w:t xml:space="preserve">between a Licensing Round and an Out-of-Round Invitation; </w:t>
      </w:r>
      <w:r>
        <w:t xml:space="preserve">the </w:t>
      </w:r>
      <w:r w:rsidR="003B172B">
        <w:t xml:space="preserve">Out-of-Round </w:t>
      </w:r>
      <w:r>
        <w:t xml:space="preserve">process is initiated at a company’s request, instead of being triggered by </w:t>
      </w:r>
      <w:r w:rsidR="00520A13">
        <w:t xml:space="preserve">the </w:t>
      </w:r>
      <w:r w:rsidR="00B830D6">
        <w:t>OGA</w:t>
      </w:r>
      <w:r w:rsidR="002725AF">
        <w:t xml:space="preserve">’s </w:t>
      </w:r>
      <w:r w:rsidR="00A27CBA">
        <w:t xml:space="preserve">own </w:t>
      </w:r>
      <w:r>
        <w:t>timetable</w:t>
      </w:r>
      <w:r w:rsidR="00681FEE">
        <w:t xml:space="preserve">, and </w:t>
      </w:r>
      <w:r w:rsidR="00520A13">
        <w:t xml:space="preserve">the </w:t>
      </w:r>
      <w:r w:rsidR="00B830D6">
        <w:t>OGA</w:t>
      </w:r>
      <w:r w:rsidR="00486AE6">
        <w:t xml:space="preserve"> </w:t>
      </w:r>
      <w:r w:rsidR="00681FEE">
        <w:t xml:space="preserve">will only invite </w:t>
      </w:r>
      <w:r w:rsidR="003B172B">
        <w:t xml:space="preserve">Out-of-Round </w:t>
      </w:r>
      <w:r w:rsidR="00681FEE">
        <w:t xml:space="preserve">applications for </w:t>
      </w:r>
      <w:r>
        <w:t xml:space="preserve">a very small area – typically a single block. </w:t>
      </w:r>
    </w:p>
    <w:p w14:paraId="4BE71145" w14:textId="278463E7" w:rsidR="003B5279" w:rsidRDefault="00232DA0" w:rsidP="00A51FC4">
      <w:pPr>
        <w:pStyle w:val="BulletText"/>
      </w:pPr>
      <w:r>
        <w:t xml:space="preserve">A company wishing to pursue the Out-of-Round route must first convince </w:t>
      </w:r>
      <w:r w:rsidR="00520A13">
        <w:t xml:space="preserve">the </w:t>
      </w:r>
      <w:r w:rsidR="00B830D6">
        <w:t>OGA</w:t>
      </w:r>
      <w:r w:rsidR="008441D7">
        <w:t xml:space="preserve"> </w:t>
      </w:r>
      <w:r>
        <w:t xml:space="preserve">that an Out-of-Round Invitation is justified; i.e. that there are clear reasons why it should not have to wait for the next opportunity in a Licensing Round. If </w:t>
      </w:r>
      <w:r w:rsidR="00520A13">
        <w:t xml:space="preserve">the </w:t>
      </w:r>
      <w:r w:rsidR="00B830D6">
        <w:t>OGA</w:t>
      </w:r>
      <w:r w:rsidR="003B172B">
        <w:t xml:space="preserve"> </w:t>
      </w:r>
      <w:r>
        <w:t xml:space="preserve">is convinced, we will usually invite applications in a similar way to that </w:t>
      </w:r>
      <w:r w:rsidR="003B172B">
        <w:t xml:space="preserve">in </w:t>
      </w:r>
      <w:r>
        <w:t>a Licensing Round. Therefore</w:t>
      </w:r>
      <w:r w:rsidR="00B17BC0">
        <w:t>,</w:t>
      </w:r>
      <w:r>
        <w:t xml:space="preserve"> the first step for any company </w:t>
      </w:r>
      <w:r w:rsidR="00A51FC4" w:rsidRPr="00A51FC4">
        <w:t xml:space="preserve">is to write to Offshore.Exploration@ogauthority.co.uk at the OGA, </w:t>
      </w:r>
      <w:bookmarkStart w:id="25" w:name="_GoBack"/>
      <w:bookmarkEnd w:id="25"/>
      <w:r>
        <w:t xml:space="preserve">making a case for an Out-of-Round invitation. </w:t>
      </w:r>
    </w:p>
    <w:p w14:paraId="4BE71146" w14:textId="77777777" w:rsidR="00232DA0" w:rsidRDefault="00232DA0">
      <w:pPr>
        <w:pStyle w:val="Heading3"/>
      </w:pPr>
      <w:bookmarkStart w:id="26" w:name="_Financial_capacity_(Appendix"/>
      <w:bookmarkStart w:id="27" w:name="_Toc484787686"/>
      <w:bookmarkEnd w:id="26"/>
      <w:r>
        <w:t>General issues</w:t>
      </w:r>
      <w:bookmarkEnd w:id="27"/>
    </w:p>
    <w:p w14:paraId="4BE71147" w14:textId="77777777" w:rsidR="00232DA0" w:rsidRDefault="00232DA0">
      <w:pPr>
        <w:pStyle w:val="IntroPara"/>
      </w:pPr>
      <w:r>
        <w:t xml:space="preserve">All the following points apply to all kinds of application unless indicated otherwise. </w:t>
      </w:r>
    </w:p>
    <w:p w14:paraId="4BE71148" w14:textId="77777777" w:rsidR="003B5279" w:rsidRDefault="00232DA0" w:rsidP="00734C6C">
      <w:pPr>
        <w:pStyle w:val="BulletText"/>
      </w:pPr>
      <w:r>
        <w:t>In accordance with the Report submitted by the Progressing Partnerships Working Group</w:t>
      </w:r>
      <w:r w:rsidR="00732144">
        <w:fldChar w:fldCharType="begin"/>
      </w:r>
      <w:r>
        <w:instrText xml:space="preserve"> XE "Progressing Partnerships Working Group" </w:instrText>
      </w:r>
      <w:r w:rsidR="00732144">
        <w:fldChar w:fldCharType="end"/>
      </w:r>
      <w:r>
        <w:t xml:space="preserve"> to PILOT</w:t>
      </w:r>
      <w:r w:rsidR="00732144">
        <w:fldChar w:fldCharType="begin"/>
      </w:r>
      <w:r>
        <w:instrText xml:space="preserve"> XE "PILOT" </w:instrText>
      </w:r>
      <w:r w:rsidR="00732144">
        <w:fldChar w:fldCharType="end"/>
      </w:r>
      <w:r>
        <w:t xml:space="preserve"> on 4 January 2002, </w:t>
      </w:r>
      <w:r w:rsidR="00520A13">
        <w:t xml:space="preserve">the </w:t>
      </w:r>
      <w:r w:rsidR="00B830D6">
        <w:t>OGA</w:t>
      </w:r>
      <w:r w:rsidR="008441D7">
        <w:t xml:space="preserve"> </w:t>
      </w:r>
      <w:r>
        <w:t xml:space="preserve">will not approve </w:t>
      </w:r>
      <w:r w:rsidRPr="005D658C">
        <w:t>Joint Operating Agreements</w:t>
      </w:r>
      <w:r w:rsidR="00732144" w:rsidRPr="005D658C">
        <w:fldChar w:fldCharType="begin"/>
      </w:r>
      <w:r>
        <w:instrText xml:space="preserve"> XE "Joint Operating Agreements" </w:instrText>
      </w:r>
      <w:r w:rsidR="00732144" w:rsidRPr="005D658C">
        <w:fldChar w:fldCharType="end"/>
      </w:r>
      <w:r w:rsidRPr="005D658C">
        <w:t xml:space="preserve"> </w:t>
      </w:r>
      <w:r>
        <w:t xml:space="preserve">made under Seaward Production Licences issued in the 20th Round or later if they include </w:t>
      </w:r>
      <w:hyperlink w:anchor="PreEmptionDefinition" w:history="1">
        <w:r w:rsidRPr="005D658C">
          <w:t>pre-emption</w:t>
        </w:r>
      </w:hyperlink>
      <w:r w:rsidR="00732144">
        <w:fldChar w:fldCharType="begin"/>
      </w:r>
      <w:r>
        <w:instrText xml:space="preserve"> XE "Pre-emption" </w:instrText>
      </w:r>
      <w:r w:rsidR="00732144">
        <w:fldChar w:fldCharType="end"/>
      </w:r>
      <w:r>
        <w:t xml:space="preserve"> provisions, except in special circumstances where </w:t>
      </w:r>
      <w:r w:rsidR="00107030">
        <w:t xml:space="preserve">the </w:t>
      </w:r>
      <w:r w:rsidR="003B172B">
        <w:t>applicant</w:t>
      </w:r>
      <w:r>
        <w:t xml:space="preserve"> has made a convincing case for such provisions before award (and in such cases, it may count against the application where there is a choice between competed bids). Where</w:t>
      </w:r>
      <w:r w:rsidR="008441D7">
        <w:t xml:space="preserve"> </w:t>
      </w:r>
      <w:r w:rsidR="00520A13">
        <w:t>the</w:t>
      </w:r>
      <w:r w:rsidR="00B830D6">
        <w:t xml:space="preserve"> OGA</w:t>
      </w:r>
      <w:r w:rsidR="008441D7">
        <w:t xml:space="preserve"> </w:t>
      </w:r>
      <w:r>
        <w:t xml:space="preserve">does accept a special need for pre-emption provisions, only pre-emption provisions of the form </w:t>
      </w:r>
      <w:r w:rsidR="00520A13">
        <w:t xml:space="preserve">specified in that Report </w:t>
      </w:r>
      <w:r>
        <w:t xml:space="preserve">will be approved. This does not apply to landward licences. </w:t>
      </w:r>
    </w:p>
    <w:p w14:paraId="4BE71149" w14:textId="77777777" w:rsidR="003B5279" w:rsidRDefault="00232DA0" w:rsidP="00734C6C">
      <w:pPr>
        <w:pStyle w:val="BulletText"/>
      </w:pPr>
      <w:r>
        <w:t>Following industry representations at PILOT</w:t>
      </w:r>
      <w:r w:rsidR="00732144">
        <w:fldChar w:fldCharType="begin"/>
      </w:r>
      <w:r>
        <w:instrText xml:space="preserve"> XE "PILOT" </w:instrText>
      </w:r>
      <w:r w:rsidR="00732144">
        <w:fldChar w:fldCharType="end"/>
      </w:r>
      <w:r>
        <w:t xml:space="preserve"> (previously the Oil &amp; Gas Industry Task Force), </w:t>
      </w:r>
      <w:r w:rsidR="00855BAB">
        <w:t>the</w:t>
      </w:r>
      <w:r w:rsidR="00B830D6">
        <w:t xml:space="preserve"> OGA</w:t>
      </w:r>
      <w:r w:rsidR="008441D7">
        <w:t xml:space="preserve"> </w:t>
      </w:r>
      <w:r>
        <w:t xml:space="preserve">will not issue a </w:t>
      </w:r>
      <w:r w:rsidR="003B172B">
        <w:t xml:space="preserve">Seaward </w:t>
      </w:r>
      <w:r>
        <w:t>Licence covering separate (non-contiguous) areas (a ‘</w:t>
      </w:r>
      <w:r w:rsidRPr="005D658C">
        <w:t>Multiblock Licence</w:t>
      </w:r>
      <w:r w:rsidR="00732144" w:rsidRPr="005D658C">
        <w:fldChar w:fldCharType="begin"/>
      </w:r>
      <w:r>
        <w:instrText xml:space="preserve"> XE "Multiblock Licences" </w:instrText>
      </w:r>
      <w:r w:rsidR="00732144" w:rsidRPr="005D658C">
        <w:fldChar w:fldCharType="end"/>
      </w:r>
      <w:r w:rsidRPr="005D658C">
        <w:t>’</w:t>
      </w:r>
      <w:r>
        <w:t>).</w:t>
      </w:r>
      <w:r w:rsidR="005D73FB">
        <w:t xml:space="preserve"> For these purposes, two areas that join corner-to-corner </w:t>
      </w:r>
      <w:proofErr w:type="gramStart"/>
      <w:r w:rsidR="005D73FB">
        <w:t>are considered to be</w:t>
      </w:r>
      <w:proofErr w:type="gramEnd"/>
      <w:r w:rsidR="005D73FB">
        <w:t xml:space="preserve"> </w:t>
      </w:r>
      <w:r w:rsidR="005D73FB" w:rsidRPr="005D658C">
        <w:t>separate</w:t>
      </w:r>
      <w:r w:rsidR="005D73FB">
        <w:t>.</w:t>
      </w:r>
      <w:r>
        <w:t xml:space="preserve"> </w:t>
      </w:r>
    </w:p>
    <w:p w14:paraId="4BE7114A" w14:textId="713165F0" w:rsidR="003B5279" w:rsidRPr="00421038" w:rsidRDefault="00232DA0" w:rsidP="00734C6C">
      <w:pPr>
        <w:pStyle w:val="BulletText"/>
      </w:pPr>
      <w:r w:rsidRPr="00421038">
        <w:t xml:space="preserve">A Production Licence does not grant </w:t>
      </w:r>
      <w:r w:rsidRPr="00421038">
        <w:rPr>
          <w:i/>
        </w:rPr>
        <w:t>carte blanche</w:t>
      </w:r>
      <w:r w:rsidRPr="00421038">
        <w:t xml:space="preserve"> to carry out all petroleum-related activities from then on. Some activities, such as drilling, are subject to further individual controls by </w:t>
      </w:r>
      <w:r w:rsidR="00855BAB" w:rsidRPr="00421038">
        <w:t>the</w:t>
      </w:r>
      <w:r w:rsidR="00B830D6" w:rsidRPr="00421038">
        <w:t xml:space="preserve"> OGA</w:t>
      </w:r>
      <w:r w:rsidRPr="00421038">
        <w:t xml:space="preserve">, and a licensee of course remains subject to controls by other </w:t>
      </w:r>
      <w:r w:rsidR="003B172B" w:rsidRPr="00421038">
        <w:t xml:space="preserve">regulators </w:t>
      </w:r>
      <w:r w:rsidRPr="00421038">
        <w:t xml:space="preserve">such as </w:t>
      </w:r>
      <w:r w:rsidR="00724097" w:rsidRPr="00421038">
        <w:t>BEIS</w:t>
      </w:r>
      <w:r w:rsidR="003F11E7" w:rsidRPr="00421038">
        <w:t xml:space="preserve"> and </w:t>
      </w:r>
      <w:r w:rsidRPr="00421038">
        <w:t xml:space="preserve">the Health and Safety Executive. Furthermore, the award of a landward licence (PEDL) in no way waives the requirement for the Licensee to get any necessary permission from landowners, planning authorities, etc. It is the licensee’s responsibility to be aware of, and comply with, all regulatory controls and legal requirements. </w:t>
      </w:r>
      <w:r w:rsidR="00855BAB" w:rsidRPr="00421038">
        <w:t>The</w:t>
      </w:r>
      <w:r w:rsidR="00B830D6" w:rsidRPr="00421038">
        <w:t xml:space="preserve"> OGA</w:t>
      </w:r>
      <w:r w:rsidR="00561970" w:rsidRPr="00421038">
        <w:t xml:space="preserve"> </w:t>
      </w:r>
      <w:r w:rsidRPr="00421038">
        <w:t xml:space="preserve">cannot offer advice on regulation outside its remit, nor on legal </w:t>
      </w:r>
      <w:r w:rsidRPr="00421038">
        <w:lastRenderedPageBreak/>
        <w:t xml:space="preserve">issues, but to offer a starting point there is some guidance of the areas that we are aware of on </w:t>
      </w:r>
      <w:r w:rsidR="00F00098" w:rsidRPr="00421038">
        <w:t>the</w:t>
      </w:r>
      <w:r w:rsidR="00A53819" w:rsidRPr="00421038">
        <w:t xml:space="preserve"> ogauthority.co.uk </w:t>
      </w:r>
      <w:hyperlink r:id="rId20" w:history="1">
        <w:r w:rsidRPr="00421038">
          <w:t>website</w:t>
        </w:r>
      </w:hyperlink>
      <w:r w:rsidR="00F00098" w:rsidRPr="00421038">
        <w:rPr>
          <w:vertAlign w:val="superscript"/>
        </w:rPr>
        <w:footnoteReference w:id="24"/>
      </w:r>
      <w:r w:rsidRPr="00421038">
        <w:t xml:space="preserve">. </w:t>
      </w:r>
    </w:p>
    <w:p w14:paraId="4BE7114B" w14:textId="2117DFE2" w:rsidR="003B5279" w:rsidRDefault="009E2304" w:rsidP="00207138">
      <w:pPr>
        <w:pStyle w:val="BulletText"/>
      </w:pPr>
      <w:r>
        <w:t xml:space="preserve">Any production licence issued will carry conditions about </w:t>
      </w:r>
      <w:r w:rsidR="00A8707B">
        <w:t>the reporting, management and retention of information, data and physical samples</w:t>
      </w:r>
      <w:r>
        <w:t xml:space="preserve">, and </w:t>
      </w:r>
      <w:r w:rsidR="00855BAB">
        <w:t>the</w:t>
      </w:r>
      <w:r w:rsidR="00B830D6">
        <w:t xml:space="preserve"> OGA</w:t>
      </w:r>
      <w:r w:rsidR="00561970">
        <w:t xml:space="preserve"> </w:t>
      </w:r>
      <w:r>
        <w:t xml:space="preserve">takes them very seriously. There are Release procedures and Guidelines relating to </w:t>
      </w:r>
      <w:r w:rsidR="00555CC0">
        <w:t>well data</w:t>
      </w:r>
      <w:r w:rsidR="00D47C5D">
        <w:t>, new geophysical surveys</w:t>
      </w:r>
      <w:r>
        <w:t>,</w:t>
      </w:r>
      <w:r w:rsidR="008220FB">
        <w:t xml:space="preserve"> etc</w:t>
      </w:r>
      <w:r>
        <w:t>.</w:t>
      </w:r>
      <w:r w:rsidR="00D47C5D">
        <w:t xml:space="preserve"> </w:t>
      </w:r>
      <w:r w:rsidR="00DA257C">
        <w:t>G</w:t>
      </w:r>
      <w:r>
        <w:t xml:space="preserve">uidance </w:t>
      </w:r>
      <w:r w:rsidR="00DA257C">
        <w:t xml:space="preserve">can be found </w:t>
      </w:r>
      <w:r>
        <w:t xml:space="preserve">on </w:t>
      </w:r>
      <w:r w:rsidR="008F0181">
        <w:t>the</w:t>
      </w:r>
      <w:r w:rsidR="00E00BF4">
        <w:t xml:space="preserve"> </w:t>
      </w:r>
      <w:r w:rsidR="00D47C5D">
        <w:t>web</w:t>
      </w:r>
      <w:r w:rsidR="00A80681">
        <w:t xml:space="preserve"> </w:t>
      </w:r>
      <w:r w:rsidR="00D47C5D">
        <w:t>site</w:t>
      </w:r>
      <w:r w:rsidR="008F0181" w:rsidRPr="003B172B">
        <w:rPr>
          <w:vertAlign w:val="superscript"/>
        </w:rPr>
        <w:footnoteReference w:id="25"/>
      </w:r>
      <w:r w:rsidR="00D47C5D">
        <w:t>.</w:t>
      </w:r>
    </w:p>
    <w:p w14:paraId="4BE7114C" w14:textId="77777777" w:rsidR="003B5279" w:rsidRDefault="00232DA0" w:rsidP="00734C6C">
      <w:pPr>
        <w:pStyle w:val="BulletText"/>
      </w:pPr>
      <w:r>
        <w:t>Applicants should note</w:t>
      </w:r>
      <w:r w:rsidR="008146BF">
        <w:t>:</w:t>
      </w:r>
    </w:p>
    <w:p w14:paraId="4BE7114D" w14:textId="0DCF2FAA" w:rsidR="008146BF" w:rsidRDefault="00A8707B" w:rsidP="003B172B">
      <w:pPr>
        <w:pStyle w:val="BulletText"/>
        <w:numPr>
          <w:ilvl w:val="1"/>
          <w:numId w:val="2"/>
        </w:numPr>
      </w:pPr>
      <w:r>
        <w:t>an</w:t>
      </w:r>
      <w:r w:rsidR="008146BF">
        <w:t xml:space="preserve"> initiative to preserve historically-important records which goes by the name of '</w:t>
      </w:r>
      <w:r w:rsidR="008146BF" w:rsidRPr="002B4395">
        <w:t>Capturing the Energy</w:t>
      </w:r>
      <w:r w:rsidR="00732144" w:rsidRPr="002B4395">
        <w:fldChar w:fldCharType="begin"/>
      </w:r>
      <w:r w:rsidR="005369B6">
        <w:instrText xml:space="preserve"> XE "</w:instrText>
      </w:r>
      <w:r w:rsidR="005369B6" w:rsidRPr="00F96779">
        <w:instrText>Capturing the Energy</w:instrText>
      </w:r>
      <w:r w:rsidR="005369B6">
        <w:instrText xml:space="preserve">" </w:instrText>
      </w:r>
      <w:r w:rsidR="00732144" w:rsidRPr="002B4395">
        <w:fldChar w:fldCharType="end"/>
      </w:r>
      <w:r w:rsidR="008146BF">
        <w:t xml:space="preserve">' and which </w:t>
      </w:r>
      <w:r w:rsidR="00855BAB">
        <w:t>the</w:t>
      </w:r>
      <w:r w:rsidR="00B830D6">
        <w:t xml:space="preserve"> OGA</w:t>
      </w:r>
      <w:r w:rsidR="00561970">
        <w:t xml:space="preserve"> </w:t>
      </w:r>
      <w:r w:rsidR="008146BF">
        <w:t>fully supports.</w:t>
      </w:r>
      <w:r w:rsidR="00434967">
        <w:t xml:space="preserve"> </w:t>
      </w:r>
      <w:r w:rsidR="008146BF" w:rsidRPr="008146BF">
        <w:t xml:space="preserve">Details can be found on the </w:t>
      </w:r>
      <w:r w:rsidR="008146BF">
        <w:t>'Capturing the Energy' website </w:t>
      </w:r>
      <w:r w:rsidR="008146BF" w:rsidRPr="008146BF">
        <w:t xml:space="preserve">at </w:t>
      </w:r>
      <w:hyperlink r:id="rId21" w:tooltip="http://www.capturing-the-energy.org.uk/" w:history="1">
        <w:r w:rsidR="008146BF" w:rsidRPr="00B36E59">
          <w:rPr>
            <w:color w:val="4F81BD" w:themeColor="accent1"/>
            <w:u w:val="single"/>
          </w:rPr>
          <w:t>www.capturing-the-energy.org.uk</w:t>
        </w:r>
      </w:hyperlink>
      <w:r w:rsidR="008146BF" w:rsidRPr="008146BF">
        <w:t xml:space="preserve">; and you can contact 'Capturing the Energy' by email to </w:t>
      </w:r>
      <w:hyperlink r:id="rId22" w:tooltip="mailto:info@capturing-the-energy-org.uk" w:history="1">
        <w:r w:rsidR="008146BF" w:rsidRPr="00B36E59">
          <w:rPr>
            <w:color w:val="4F81BD" w:themeColor="accent1"/>
            <w:u w:val="single"/>
          </w:rPr>
          <w:t>info@capturing-the-energy-org.uk</w:t>
        </w:r>
      </w:hyperlink>
      <w:r w:rsidR="008146BF">
        <w:t>.</w:t>
      </w:r>
    </w:p>
    <w:p w14:paraId="4BE7114E" w14:textId="6A4B4224" w:rsidR="00F67B1B" w:rsidRDefault="00F67B1B" w:rsidP="00B85056">
      <w:pPr>
        <w:pStyle w:val="BulletText"/>
        <w:numPr>
          <w:ilvl w:val="1"/>
          <w:numId w:val="2"/>
        </w:numPr>
      </w:pPr>
      <w:r>
        <w:t xml:space="preserve">The data management provisions </w:t>
      </w:r>
      <w:r w:rsidR="00B16E5E">
        <w:t xml:space="preserve">in Chapter 3 </w:t>
      </w:r>
      <w:r>
        <w:t>of the Energy Act 2016 and the requirement for all Relevant Persons to appoint an Information and Samples Coordinator</w:t>
      </w:r>
      <w:r w:rsidR="00A8707B">
        <w:rPr>
          <w:rStyle w:val="FootnoteReference"/>
        </w:rPr>
        <w:footnoteReference w:id="26"/>
      </w:r>
      <w:r w:rsidR="00A8707B">
        <w:t>.</w:t>
      </w:r>
    </w:p>
    <w:p w14:paraId="4BE7114F" w14:textId="77777777" w:rsidR="00BB714D" w:rsidRDefault="00BB714D" w:rsidP="008146BF">
      <w:pPr>
        <w:pStyle w:val="ListNumber"/>
      </w:pPr>
    </w:p>
    <w:p w14:paraId="4BE71150" w14:textId="77777777" w:rsidR="00232DA0" w:rsidRDefault="00232DA0">
      <w:pPr>
        <w:pStyle w:val="Heading2"/>
      </w:pPr>
      <w:bookmarkStart w:id="28" w:name="_Appendix_A_(Financial_1"/>
      <w:bookmarkStart w:id="29" w:name="_Financial_capacity_(Appendix_1"/>
      <w:bookmarkStart w:id="30" w:name="_Financial_capability_(1)"/>
      <w:bookmarkStart w:id="31" w:name="_Appendix_A_Section"/>
      <w:bookmarkStart w:id="32" w:name="_Section_2:_Expenditure"/>
      <w:bookmarkStart w:id="33" w:name="_Section_2:_UKCS"/>
      <w:bookmarkStart w:id="34" w:name="_Appendix_A_Section_1"/>
      <w:bookmarkStart w:id="35" w:name="_Accounts_or_published"/>
      <w:bookmarkStart w:id="36" w:name="_Corporate_structure"/>
      <w:bookmarkStart w:id="37" w:name="_Geotechnical_information_about"/>
      <w:bookmarkStart w:id="38" w:name="_technical_information_(Appendix"/>
      <w:bookmarkStart w:id="39" w:name="_Section_4:_Operator"/>
      <w:bookmarkStart w:id="40" w:name="_Environmental_issues_(Appendix"/>
      <w:bookmarkStart w:id="41" w:name="_Annexe_1_–"/>
      <w:bookmarkStart w:id="42" w:name="_Annexe_2_–"/>
      <w:bookmarkStart w:id="43" w:name="_Annexe_?1_–"/>
      <w:bookmarkStart w:id="44" w:name="_Annexe_1:_Definitions"/>
      <w:bookmarkStart w:id="45" w:name="_Annexe_2:_The"/>
      <w:bookmarkStart w:id="46" w:name="_Further_enquiries:_contacts"/>
      <w:bookmarkStart w:id="47" w:name="_Annexe_3:_Rentals"/>
      <w:bookmarkStart w:id="48" w:name="_Annexe_1:_Rentals"/>
      <w:bookmarkStart w:id="49" w:name="_Toc48478768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lastRenderedPageBreak/>
        <w:t xml:space="preserve">Annexe </w:t>
      </w:r>
      <w:r w:rsidR="008F0181">
        <w:t>1</w:t>
      </w:r>
      <w:r>
        <w:t>: Rentals</w:t>
      </w:r>
      <w:bookmarkEnd w:id="49"/>
      <w:r w:rsidR="00732144">
        <w:fldChar w:fldCharType="begin"/>
      </w:r>
      <w:r>
        <w:instrText xml:space="preserve"> XE "Rentals" </w:instrText>
      </w:r>
      <w:r w:rsidR="00732144">
        <w:fldChar w:fldCharType="end"/>
      </w:r>
    </w:p>
    <w:p w14:paraId="4BE71151" w14:textId="77777777" w:rsidR="0097072A" w:rsidRDefault="0097072A" w:rsidP="0097072A">
      <w:pPr>
        <w:pBdr>
          <w:bottom w:val="single" w:sz="4" w:space="1" w:color="auto"/>
        </w:pBdr>
        <w:rPr>
          <w:b/>
          <w:bCs/>
        </w:rPr>
      </w:pPr>
      <w:r>
        <w:rPr>
          <w:b/>
          <w:bCs/>
        </w:rPr>
        <w:t xml:space="preserve">Seaward </w:t>
      </w:r>
      <w:r w:rsidR="00335AFF">
        <w:rPr>
          <w:b/>
          <w:bCs/>
        </w:rPr>
        <w:t xml:space="preserve">Innovate </w:t>
      </w:r>
      <w:r>
        <w:rPr>
          <w:b/>
          <w:bCs/>
        </w:rPr>
        <w:t>Production Licence’s rental schedule</w:t>
      </w:r>
    </w:p>
    <w:p w14:paraId="4BE71152" w14:textId="77777777" w:rsidR="0097072A" w:rsidRDefault="0097072A" w:rsidP="0097072A">
      <w:pPr>
        <w:pStyle w:val="NormalText"/>
        <w:sectPr w:rsidR="0097072A">
          <w:headerReference w:type="default" r:id="rId23"/>
          <w:footerReference w:type="default" r:id="rId24"/>
          <w:footnotePr>
            <w:numRestart w:val="eachPage"/>
          </w:footnotePr>
          <w:type w:val="continuous"/>
          <w:pgSz w:w="11906" w:h="16838"/>
          <w:pgMar w:top="1440" w:right="1440" w:bottom="1440" w:left="1440" w:header="706" w:footer="706" w:gutter="0"/>
          <w:cols w:space="708"/>
          <w:docGrid w:linePitch="360"/>
        </w:sectPr>
      </w:pPr>
    </w:p>
    <w:p w14:paraId="43735A0D" w14:textId="3CD54936" w:rsidR="001F02C6" w:rsidRPr="001F02C6" w:rsidRDefault="001F02C6" w:rsidP="001F02C6">
      <w:pPr>
        <w:pStyle w:val="NormalText"/>
        <w:numPr>
          <w:ilvl w:val="0"/>
          <w:numId w:val="17"/>
        </w:numPr>
        <w:rPr>
          <w:rFonts w:asciiTheme="majorHAnsi" w:hAnsiTheme="majorHAnsi"/>
          <w:sz w:val="16"/>
        </w:rPr>
      </w:pPr>
      <w:r w:rsidRPr="001F02C6">
        <w:rPr>
          <w:rFonts w:asciiTheme="majorHAnsi" w:hAnsiTheme="majorHAnsi"/>
          <w:sz w:val="16"/>
        </w:rPr>
        <w:t>On the Commencement Date, and on each anniversary of the Start Date, the Licensee shall pay the OGA sums (“Periodic Payments”) calculated as the following amounts multiplied by the Area Factor:</w:t>
      </w:r>
    </w:p>
    <w:p w14:paraId="68271C77" w14:textId="35D8EA2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on each such date during Phase A: £15;</w:t>
      </w:r>
    </w:p>
    <w:p w14:paraId="3F7BDED1"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on each such date during Phase B: £30;</w:t>
      </w:r>
    </w:p>
    <w:p w14:paraId="0E1FCCBF"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on each such date during Phase C: £150;</w:t>
      </w:r>
    </w:p>
    <w:p w14:paraId="74FE8689"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on each subsequent date after the Initial Term:</w:t>
      </w:r>
    </w:p>
    <w:p w14:paraId="0CF23F89" w14:textId="3EC432A8"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1st such date: £300;</w:t>
      </w:r>
    </w:p>
    <w:p w14:paraId="07D82509" w14:textId="77777777" w:rsidR="001F02C6" w:rsidRDefault="001F02C6" w:rsidP="001F02C6">
      <w:pPr>
        <w:pStyle w:val="FirstIndent"/>
        <w:numPr>
          <w:ilvl w:val="5"/>
          <w:numId w:val="17"/>
        </w:numPr>
        <w:tabs>
          <w:tab w:val="left" w:pos="720"/>
        </w:tabs>
        <w:ind w:left="1440"/>
        <w:rPr>
          <w:rFonts w:asciiTheme="majorHAnsi" w:hAnsiTheme="majorHAnsi"/>
          <w:sz w:val="16"/>
        </w:rPr>
      </w:pPr>
      <w:r>
        <w:rPr>
          <w:rFonts w:asciiTheme="majorHAnsi" w:hAnsiTheme="majorHAnsi"/>
          <w:sz w:val="16"/>
        </w:rPr>
        <w:t>o</w:t>
      </w:r>
      <w:r w:rsidRPr="001F02C6">
        <w:rPr>
          <w:rFonts w:asciiTheme="majorHAnsi" w:hAnsiTheme="majorHAnsi"/>
          <w:sz w:val="16"/>
        </w:rPr>
        <w:t>n the 2nd such date: £900;</w:t>
      </w:r>
    </w:p>
    <w:p w14:paraId="2E9AD074" w14:textId="77777777"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3rd such date: £1,800;</w:t>
      </w:r>
    </w:p>
    <w:p w14:paraId="2E3A97EB" w14:textId="77777777"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4th such date: £2,700;</w:t>
      </w:r>
    </w:p>
    <w:p w14:paraId="090E4872" w14:textId="77777777"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5th such date: £3,900;</w:t>
      </w:r>
    </w:p>
    <w:p w14:paraId="7014E322" w14:textId="77777777"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6th such date: £5,100;</w:t>
      </w:r>
    </w:p>
    <w:p w14:paraId="3AD087F2" w14:textId="77777777"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7th such date: £6,300;</w:t>
      </w:r>
    </w:p>
    <w:p w14:paraId="4DDA5C10" w14:textId="77777777" w:rsid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8th such date: £6,900;</w:t>
      </w:r>
    </w:p>
    <w:p w14:paraId="637C3D17" w14:textId="75801570" w:rsidR="001F02C6" w:rsidRPr="001F02C6" w:rsidRDefault="001F02C6" w:rsidP="001F02C6">
      <w:pPr>
        <w:pStyle w:val="FirstIndent"/>
        <w:numPr>
          <w:ilvl w:val="5"/>
          <w:numId w:val="17"/>
        </w:numPr>
        <w:tabs>
          <w:tab w:val="left" w:pos="720"/>
        </w:tabs>
        <w:ind w:left="1440"/>
        <w:rPr>
          <w:rFonts w:asciiTheme="majorHAnsi" w:hAnsiTheme="majorHAnsi"/>
          <w:sz w:val="16"/>
        </w:rPr>
      </w:pPr>
      <w:r w:rsidRPr="001F02C6">
        <w:rPr>
          <w:rFonts w:asciiTheme="majorHAnsi" w:hAnsiTheme="majorHAnsi"/>
          <w:sz w:val="16"/>
        </w:rPr>
        <w:t>on the 9th such date, and every subsequent such date: £7,500.</w:t>
      </w:r>
    </w:p>
    <w:p w14:paraId="341C0DFE" w14:textId="77777777" w:rsidR="001F02C6" w:rsidRPr="001F02C6" w:rsidRDefault="001F02C6" w:rsidP="001F02C6">
      <w:pPr>
        <w:pStyle w:val="NormalText"/>
        <w:numPr>
          <w:ilvl w:val="0"/>
          <w:numId w:val="17"/>
        </w:numPr>
        <w:rPr>
          <w:rFonts w:asciiTheme="majorHAnsi" w:hAnsiTheme="majorHAnsi"/>
          <w:sz w:val="16"/>
        </w:rPr>
      </w:pPr>
      <w:r w:rsidRPr="001F02C6">
        <w:rPr>
          <w:rFonts w:asciiTheme="majorHAnsi" w:hAnsiTheme="majorHAnsi"/>
          <w:sz w:val="16"/>
        </w:rPr>
        <w:t>The Periodic Payments shall be subject to variation in accordance with the following provisions:</w:t>
      </w:r>
    </w:p>
    <w:p w14:paraId="5BC37A09"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 xml:space="preserve">The Periodic Payments shall be increased or subsequently reduced in line with movements in the Index of the Price of Crude Oil acquired by Refineries (published in the Digest of UK Energy Statistics) if the OGA so determines. The OGA shall give notice of any such determination (“biennial determination”) not less than one month before the date on which such payment falls due, and shall specify in the notice the increase or reduction in the amount payable. Movements in the Index shall be calculated by reference to a comparison between the arithmetic mean of the Index levels for the two latest calendar years for which figures are available at the time when the determination is made, and the arithmetic mean of the Index levels for the two latest calendar years before the Start Date. </w:t>
      </w:r>
      <w:proofErr w:type="gramStart"/>
      <w:r w:rsidRPr="001F02C6">
        <w:rPr>
          <w:rFonts w:asciiTheme="majorHAnsi" w:hAnsiTheme="majorHAnsi"/>
          <w:sz w:val="16"/>
        </w:rPr>
        <w:t>In the event that</w:t>
      </w:r>
      <w:proofErr w:type="gramEnd"/>
      <w:r w:rsidRPr="001F02C6">
        <w:rPr>
          <w:rFonts w:asciiTheme="majorHAnsi" w:hAnsiTheme="majorHAnsi"/>
          <w:sz w:val="16"/>
        </w:rPr>
        <w:t xml:space="preserve"> the Index of the Price of Crude Oil acquired by Refineries ceases to be published the OGA may substitute arrangements for redetermination of periodic payments having substantially similar effect to those set out above.</w:t>
      </w:r>
    </w:p>
    <w:p w14:paraId="752D9CA2"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The increase or reduction specified in a biennial determination shall be payable or take effect on the anniversary of the Start Date next following the date of the relevant determination.</w:t>
      </w:r>
    </w:p>
    <w:p w14:paraId="71DEEC3C"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 xml:space="preserve">No biennial determination shall have effect </w:t>
      </w:r>
      <w:proofErr w:type="gramStart"/>
      <w:r w:rsidRPr="001F02C6">
        <w:rPr>
          <w:rFonts w:asciiTheme="majorHAnsi" w:hAnsiTheme="majorHAnsi"/>
          <w:sz w:val="16"/>
        </w:rPr>
        <w:t>so as to</w:t>
      </w:r>
      <w:proofErr w:type="gramEnd"/>
      <w:r w:rsidRPr="001F02C6">
        <w:rPr>
          <w:rFonts w:asciiTheme="majorHAnsi" w:hAnsiTheme="majorHAnsi"/>
          <w:sz w:val="16"/>
        </w:rPr>
        <w:t xml:space="preserve"> reduce the Periodic Payments below the levels set out in sub-paragraph (1) above.</w:t>
      </w:r>
    </w:p>
    <w:p w14:paraId="10199D88"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The Minister shall not make a biennial determination increasing or reducing the amounts payable where that increase or reduction would be 5% or less of the levels set following the previous biennial determination.</w:t>
      </w:r>
    </w:p>
    <w:p w14:paraId="0DD7484C" w14:textId="77777777" w:rsidR="001F02C6" w:rsidRPr="001F02C6" w:rsidRDefault="001F02C6" w:rsidP="001F02C6">
      <w:pPr>
        <w:pStyle w:val="NormalText"/>
        <w:numPr>
          <w:ilvl w:val="0"/>
          <w:numId w:val="17"/>
        </w:numPr>
        <w:rPr>
          <w:rFonts w:asciiTheme="majorHAnsi" w:hAnsiTheme="majorHAnsi"/>
          <w:sz w:val="16"/>
        </w:rPr>
      </w:pPr>
      <w:r w:rsidRPr="001F02C6">
        <w:rPr>
          <w:rFonts w:asciiTheme="majorHAnsi" w:hAnsiTheme="majorHAnsi"/>
          <w:sz w:val="16"/>
        </w:rPr>
        <w:t>In this Schedule:</w:t>
      </w:r>
    </w:p>
    <w:p w14:paraId="0BB7C8B0" w14:textId="3538EF5D" w:rsidR="001F02C6" w:rsidRPr="001F02C6" w:rsidRDefault="00B36E59"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w:t>
      </w:r>
      <w:r w:rsidR="001F02C6" w:rsidRPr="001F02C6">
        <w:rPr>
          <w:rFonts w:asciiTheme="majorHAnsi" w:hAnsiTheme="majorHAnsi"/>
          <w:sz w:val="16"/>
        </w:rPr>
        <w:t>Commencement Date” means the date specified in clause 3(1) of the licence;</w:t>
      </w:r>
    </w:p>
    <w:p w14:paraId="249AADEE"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“the Initial Term” means the period specified as such in Schedule 5 on the date that this Licence was granted;</w:t>
      </w:r>
    </w:p>
    <w:p w14:paraId="5D0F3A75"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“Periodic Payments” means the payments set out at paragraphs (1) and (2) above; and</w:t>
      </w:r>
    </w:p>
    <w:p w14:paraId="2C4280C8"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“Phase A”, “Phase B” and “Phase C” are as defined at Schedule 3 of the licence; and</w:t>
      </w:r>
    </w:p>
    <w:p w14:paraId="0E53502D" w14:textId="77777777" w:rsidR="001F02C6" w:rsidRPr="001F02C6" w:rsidRDefault="001F02C6" w:rsidP="001F02C6">
      <w:pPr>
        <w:pStyle w:val="FirstIndent"/>
        <w:numPr>
          <w:ilvl w:val="4"/>
          <w:numId w:val="17"/>
        </w:numPr>
        <w:tabs>
          <w:tab w:val="left" w:pos="720"/>
        </w:tabs>
        <w:ind w:left="720"/>
        <w:rPr>
          <w:rFonts w:asciiTheme="majorHAnsi" w:hAnsiTheme="majorHAnsi"/>
          <w:sz w:val="16"/>
        </w:rPr>
      </w:pPr>
      <w:r w:rsidRPr="001F02C6">
        <w:rPr>
          <w:rFonts w:asciiTheme="majorHAnsi" w:hAnsiTheme="majorHAnsi"/>
          <w:sz w:val="16"/>
        </w:rPr>
        <w:t>“the Area Factor” means the number of square kilometres comprised in the Licensed Area at the date upon which the Periodic Payment in question becomes due.</w:t>
      </w:r>
    </w:p>
    <w:p w14:paraId="4BE71171" w14:textId="459854D7" w:rsidR="00232DA0" w:rsidRDefault="001F02C6">
      <w:pPr>
        <w:pBdr>
          <w:bottom w:val="single" w:sz="4" w:space="1" w:color="auto"/>
        </w:pBdr>
        <w:rPr>
          <w:b/>
          <w:bCs/>
        </w:rPr>
      </w:pPr>
      <w:r w:rsidRPr="004F0CED" w:rsidDel="008116A0">
        <w:rPr>
          <w:rFonts w:asciiTheme="majorHAnsi" w:hAnsiTheme="majorHAnsi"/>
          <w:sz w:val="16"/>
        </w:rPr>
        <w:t xml:space="preserve"> </w:t>
      </w:r>
      <w:r w:rsidR="00F7356F">
        <w:rPr>
          <w:b/>
          <w:bCs/>
        </w:rPr>
        <w:br w:type="column"/>
      </w:r>
      <w:r w:rsidR="00556FFC">
        <w:rPr>
          <w:b/>
          <w:bCs/>
        </w:rPr>
        <w:lastRenderedPageBreak/>
        <w:t xml:space="preserve">Landward Production </w:t>
      </w:r>
      <w:r w:rsidR="00232DA0">
        <w:rPr>
          <w:b/>
          <w:bCs/>
        </w:rPr>
        <w:t>Licence</w:t>
      </w:r>
      <w:r w:rsidR="00556FFC">
        <w:rPr>
          <w:b/>
          <w:bCs/>
        </w:rPr>
        <w:t>’s</w:t>
      </w:r>
      <w:r w:rsidR="00232DA0">
        <w:rPr>
          <w:b/>
          <w:bCs/>
        </w:rPr>
        <w:t xml:space="preserve"> rental schedule</w:t>
      </w:r>
    </w:p>
    <w:p w14:paraId="4BE71172" w14:textId="77777777" w:rsidR="00232DA0" w:rsidRPr="004F0CED" w:rsidRDefault="00232DA0">
      <w:pPr>
        <w:pStyle w:val="NormalText"/>
        <w:rPr>
          <w:rFonts w:asciiTheme="majorHAnsi" w:hAnsiTheme="majorHAnsi"/>
          <w:sz w:val="16"/>
        </w:rPr>
      </w:pPr>
      <w:r w:rsidRPr="004F0CED">
        <w:rPr>
          <w:rFonts w:asciiTheme="majorHAnsi" w:hAnsiTheme="majorHAnsi"/>
          <w:sz w:val="16"/>
        </w:rPr>
        <w:t>(1)</w:t>
      </w:r>
      <w:r w:rsidRPr="004F0CED">
        <w:rPr>
          <w:rFonts w:asciiTheme="majorHAnsi" w:hAnsiTheme="majorHAnsi"/>
          <w:sz w:val="16"/>
        </w:rPr>
        <w:tab/>
        <w:t>On the date on which the Initial Term begins (“the said date”) or upon the grant of this Licence, whichever is the later, and on subsequent anniversaries of the said date during the term of the Licence, the Licensee shall pay the Minister sums (in this Schedule referred to as "periodic payments") calculated as follows:</w:t>
      </w:r>
    </w:p>
    <w:p w14:paraId="4BE71173" w14:textId="77777777" w:rsidR="00232DA0" w:rsidRPr="004F0CED" w:rsidRDefault="00232DA0" w:rsidP="0042281B">
      <w:pPr>
        <w:pStyle w:val="PaymentsList"/>
        <w:tabs>
          <w:tab w:val="clear" w:pos="1080"/>
          <w:tab w:val="clear" w:pos="2246"/>
          <w:tab w:val="clear" w:pos="3600"/>
          <w:tab w:val="clear" w:pos="4867"/>
          <w:tab w:val="center" w:pos="900"/>
          <w:tab w:val="center" w:pos="1985"/>
          <w:tab w:val="center" w:pos="3119"/>
          <w:tab w:val="center" w:pos="3969"/>
        </w:tabs>
        <w:ind w:left="180"/>
        <w:rPr>
          <w:rFonts w:asciiTheme="majorHAnsi" w:hAnsiTheme="majorHAnsi"/>
          <w:sz w:val="16"/>
        </w:rPr>
      </w:pPr>
      <w:r w:rsidRPr="004F0CED">
        <w:rPr>
          <w:rFonts w:asciiTheme="majorHAnsi" w:hAnsiTheme="majorHAnsi"/>
          <w:sz w:val="16"/>
        </w:rPr>
        <w:t xml:space="preserve">(a) </w:t>
      </w:r>
      <w:r w:rsidRPr="004F0CED">
        <w:rPr>
          <w:rFonts w:asciiTheme="majorHAnsi" w:hAnsiTheme="majorHAnsi"/>
          <w:sz w:val="16"/>
        </w:rPr>
        <w:tab/>
        <w:t>on the said date, £25 multiplied by the area factor;</w:t>
      </w:r>
      <w:r w:rsidRPr="004F0CED">
        <w:rPr>
          <w:rFonts w:asciiTheme="majorHAnsi" w:hAnsiTheme="majorHAnsi"/>
          <w:sz w:val="16"/>
        </w:rPr>
        <w:br/>
        <w:t xml:space="preserve">(b) </w:t>
      </w:r>
      <w:r w:rsidRPr="004F0CED">
        <w:rPr>
          <w:rFonts w:asciiTheme="majorHAnsi" w:hAnsiTheme="majorHAnsi"/>
          <w:sz w:val="16"/>
        </w:rPr>
        <w:tab/>
        <w:t>on the 1st anniversary of the said date, £25 multiplied by the area factor;</w:t>
      </w:r>
      <w:r w:rsidRPr="004F0CED">
        <w:rPr>
          <w:rFonts w:asciiTheme="majorHAnsi" w:hAnsiTheme="majorHAnsi"/>
          <w:sz w:val="16"/>
        </w:rPr>
        <w:br/>
        <w:t>(c)</w:t>
      </w:r>
      <w:r w:rsidRPr="004F0CED">
        <w:rPr>
          <w:rFonts w:asciiTheme="majorHAnsi" w:hAnsiTheme="majorHAnsi"/>
          <w:sz w:val="16"/>
        </w:rPr>
        <w:tab/>
        <w:t>”</w:t>
      </w:r>
      <w:r w:rsidRPr="004F0CED">
        <w:rPr>
          <w:rFonts w:asciiTheme="majorHAnsi" w:hAnsiTheme="majorHAnsi"/>
          <w:sz w:val="16"/>
        </w:rPr>
        <w:tab/>
        <w:t>2nd</w:t>
      </w:r>
      <w:r w:rsidRPr="004F0CED">
        <w:rPr>
          <w:rFonts w:asciiTheme="majorHAnsi" w:hAnsiTheme="majorHAnsi"/>
          <w:sz w:val="16"/>
        </w:rPr>
        <w:tab/>
        <w:t>”</w:t>
      </w:r>
      <w:r w:rsidRPr="004F0CED">
        <w:rPr>
          <w:rFonts w:asciiTheme="majorHAnsi" w:hAnsiTheme="majorHAnsi"/>
          <w:sz w:val="16"/>
        </w:rPr>
        <w:tab/>
        <w:t>£25</w:t>
      </w:r>
      <w:r w:rsidRPr="004F0CED">
        <w:rPr>
          <w:rFonts w:asciiTheme="majorHAnsi" w:hAnsiTheme="majorHAnsi"/>
          <w:sz w:val="16"/>
        </w:rPr>
        <w:tab/>
        <w:t>”</w:t>
      </w:r>
      <w:r w:rsidRPr="004F0CED">
        <w:rPr>
          <w:rFonts w:asciiTheme="majorHAnsi" w:hAnsiTheme="majorHAnsi"/>
          <w:sz w:val="16"/>
        </w:rPr>
        <w:br/>
        <w:t>(d)</w:t>
      </w:r>
      <w:r w:rsidRPr="004F0CED">
        <w:rPr>
          <w:rFonts w:asciiTheme="majorHAnsi" w:hAnsiTheme="majorHAnsi"/>
          <w:sz w:val="16"/>
        </w:rPr>
        <w:tab/>
        <w:t>”</w:t>
      </w:r>
      <w:r w:rsidRPr="004F0CED">
        <w:rPr>
          <w:rFonts w:asciiTheme="majorHAnsi" w:hAnsiTheme="majorHAnsi"/>
          <w:sz w:val="16"/>
        </w:rPr>
        <w:tab/>
        <w:t>3rd</w:t>
      </w:r>
      <w:r w:rsidRPr="004F0CED">
        <w:rPr>
          <w:rFonts w:asciiTheme="majorHAnsi" w:hAnsiTheme="majorHAnsi"/>
          <w:sz w:val="16"/>
        </w:rPr>
        <w:tab/>
        <w:t>”</w:t>
      </w:r>
      <w:r w:rsidRPr="004F0CED">
        <w:rPr>
          <w:rFonts w:asciiTheme="majorHAnsi" w:hAnsiTheme="majorHAnsi"/>
          <w:sz w:val="16"/>
        </w:rPr>
        <w:tab/>
        <w:t>£25</w:t>
      </w:r>
      <w:r w:rsidRPr="004F0CED">
        <w:rPr>
          <w:rFonts w:asciiTheme="majorHAnsi" w:hAnsiTheme="majorHAnsi"/>
          <w:sz w:val="16"/>
        </w:rPr>
        <w:tab/>
        <w:t>”</w:t>
      </w:r>
      <w:r w:rsidRPr="004F0CED">
        <w:rPr>
          <w:rFonts w:asciiTheme="majorHAnsi" w:hAnsiTheme="majorHAnsi"/>
          <w:sz w:val="16"/>
        </w:rPr>
        <w:br/>
        <w:t>(e)</w:t>
      </w:r>
      <w:r w:rsidRPr="004F0CED">
        <w:rPr>
          <w:rFonts w:asciiTheme="majorHAnsi" w:hAnsiTheme="majorHAnsi"/>
          <w:sz w:val="16"/>
        </w:rPr>
        <w:tab/>
        <w:t>”</w:t>
      </w:r>
      <w:r w:rsidRPr="004F0CED">
        <w:rPr>
          <w:rFonts w:asciiTheme="majorHAnsi" w:hAnsiTheme="majorHAnsi"/>
          <w:sz w:val="16"/>
        </w:rPr>
        <w:tab/>
        <w:t>4th</w:t>
      </w:r>
      <w:r w:rsidRPr="004F0CED">
        <w:rPr>
          <w:rFonts w:asciiTheme="majorHAnsi" w:hAnsiTheme="majorHAnsi"/>
          <w:sz w:val="16"/>
        </w:rPr>
        <w:tab/>
        <w:t>”</w:t>
      </w:r>
      <w:r w:rsidRPr="004F0CED">
        <w:rPr>
          <w:rFonts w:asciiTheme="majorHAnsi" w:hAnsiTheme="majorHAnsi"/>
          <w:sz w:val="16"/>
        </w:rPr>
        <w:tab/>
        <w:t>£25</w:t>
      </w:r>
      <w:r w:rsidRPr="004F0CED">
        <w:rPr>
          <w:rFonts w:asciiTheme="majorHAnsi" w:hAnsiTheme="majorHAnsi"/>
          <w:sz w:val="16"/>
        </w:rPr>
        <w:tab/>
        <w:t>”</w:t>
      </w:r>
      <w:r w:rsidRPr="004F0CED">
        <w:rPr>
          <w:rFonts w:asciiTheme="majorHAnsi" w:hAnsiTheme="majorHAnsi"/>
          <w:sz w:val="16"/>
        </w:rPr>
        <w:br/>
        <w:t>(f)</w:t>
      </w:r>
      <w:r w:rsidRPr="004F0CED">
        <w:rPr>
          <w:rFonts w:asciiTheme="majorHAnsi" w:hAnsiTheme="majorHAnsi"/>
          <w:sz w:val="16"/>
        </w:rPr>
        <w:tab/>
        <w:t>”</w:t>
      </w:r>
      <w:r w:rsidRPr="004F0CED">
        <w:rPr>
          <w:rFonts w:asciiTheme="majorHAnsi" w:hAnsiTheme="majorHAnsi"/>
          <w:sz w:val="16"/>
        </w:rPr>
        <w:tab/>
        <w:t>5th</w:t>
      </w:r>
      <w:r w:rsidRPr="004F0CED">
        <w:rPr>
          <w:rFonts w:asciiTheme="majorHAnsi" w:hAnsiTheme="majorHAnsi"/>
          <w:sz w:val="16"/>
        </w:rPr>
        <w:tab/>
        <w:t>”</w:t>
      </w:r>
      <w:r w:rsidRPr="004F0CED">
        <w:rPr>
          <w:rFonts w:asciiTheme="majorHAnsi" w:hAnsiTheme="majorHAnsi"/>
          <w:sz w:val="16"/>
        </w:rPr>
        <w:tab/>
        <w:t>£25</w:t>
      </w:r>
      <w:r w:rsidRPr="004F0CED">
        <w:rPr>
          <w:rFonts w:asciiTheme="majorHAnsi" w:hAnsiTheme="majorHAnsi"/>
          <w:sz w:val="16"/>
        </w:rPr>
        <w:tab/>
        <w:t>”</w:t>
      </w:r>
      <w:r w:rsidRPr="004F0CED">
        <w:rPr>
          <w:rFonts w:asciiTheme="majorHAnsi" w:hAnsiTheme="majorHAnsi"/>
          <w:sz w:val="16"/>
        </w:rPr>
        <w:br/>
        <w:t>(g)</w:t>
      </w:r>
      <w:r w:rsidRPr="004F0CED">
        <w:rPr>
          <w:rFonts w:asciiTheme="majorHAnsi" w:hAnsiTheme="majorHAnsi"/>
          <w:sz w:val="16"/>
        </w:rPr>
        <w:tab/>
        <w:t>”</w:t>
      </w:r>
      <w:r w:rsidRPr="004F0CED">
        <w:rPr>
          <w:rFonts w:asciiTheme="majorHAnsi" w:hAnsiTheme="majorHAnsi"/>
          <w:sz w:val="16"/>
        </w:rPr>
        <w:tab/>
        <w:t>6th</w:t>
      </w:r>
      <w:r w:rsidRPr="004F0CED">
        <w:rPr>
          <w:rFonts w:asciiTheme="majorHAnsi" w:hAnsiTheme="majorHAnsi"/>
          <w:sz w:val="16"/>
        </w:rPr>
        <w:tab/>
        <w:t>”</w:t>
      </w:r>
      <w:r w:rsidRPr="004F0CED">
        <w:rPr>
          <w:rFonts w:asciiTheme="majorHAnsi" w:hAnsiTheme="majorHAnsi"/>
          <w:sz w:val="16"/>
        </w:rPr>
        <w:tab/>
        <w:t>£50</w:t>
      </w:r>
      <w:r w:rsidRPr="004F0CED">
        <w:rPr>
          <w:rFonts w:asciiTheme="majorHAnsi" w:hAnsiTheme="majorHAnsi"/>
          <w:sz w:val="16"/>
        </w:rPr>
        <w:tab/>
        <w:t>”</w:t>
      </w:r>
      <w:r w:rsidRPr="004F0CED">
        <w:rPr>
          <w:rFonts w:asciiTheme="majorHAnsi" w:hAnsiTheme="majorHAnsi"/>
          <w:sz w:val="16"/>
        </w:rPr>
        <w:br/>
        <w:t>(h)</w:t>
      </w:r>
      <w:r w:rsidRPr="004F0CED">
        <w:rPr>
          <w:rFonts w:asciiTheme="majorHAnsi" w:hAnsiTheme="majorHAnsi"/>
          <w:sz w:val="16"/>
        </w:rPr>
        <w:tab/>
        <w:t>”</w:t>
      </w:r>
      <w:r w:rsidRPr="004F0CED">
        <w:rPr>
          <w:rFonts w:asciiTheme="majorHAnsi" w:hAnsiTheme="majorHAnsi"/>
          <w:sz w:val="16"/>
        </w:rPr>
        <w:tab/>
        <w:t>7th</w:t>
      </w:r>
      <w:r w:rsidRPr="004F0CED">
        <w:rPr>
          <w:rFonts w:asciiTheme="majorHAnsi" w:hAnsiTheme="majorHAnsi"/>
          <w:sz w:val="16"/>
        </w:rPr>
        <w:tab/>
        <w:t>”</w:t>
      </w:r>
      <w:r w:rsidRPr="004F0CED">
        <w:rPr>
          <w:rFonts w:asciiTheme="majorHAnsi" w:hAnsiTheme="majorHAnsi"/>
          <w:sz w:val="16"/>
        </w:rPr>
        <w:tab/>
        <w:t>£100</w:t>
      </w:r>
      <w:r w:rsidRPr="004F0CED">
        <w:rPr>
          <w:rFonts w:asciiTheme="majorHAnsi" w:hAnsiTheme="majorHAnsi"/>
          <w:sz w:val="16"/>
        </w:rPr>
        <w:tab/>
        <w:t>”</w:t>
      </w:r>
      <w:r w:rsidRPr="004F0CED">
        <w:rPr>
          <w:rFonts w:asciiTheme="majorHAnsi" w:hAnsiTheme="majorHAnsi"/>
          <w:sz w:val="16"/>
        </w:rPr>
        <w:br/>
        <w:t>(</w:t>
      </w:r>
      <w:proofErr w:type="spellStart"/>
      <w:r w:rsidRPr="004F0CED">
        <w:rPr>
          <w:rFonts w:asciiTheme="majorHAnsi" w:hAnsiTheme="majorHAnsi"/>
          <w:sz w:val="16"/>
        </w:rPr>
        <w:t>i</w:t>
      </w:r>
      <w:proofErr w:type="spellEnd"/>
      <w:r w:rsidRPr="004F0CED">
        <w:rPr>
          <w:rFonts w:asciiTheme="majorHAnsi" w:hAnsiTheme="majorHAnsi"/>
          <w:sz w:val="16"/>
        </w:rPr>
        <w:t>)</w:t>
      </w:r>
      <w:r w:rsidRPr="004F0CED">
        <w:rPr>
          <w:rFonts w:asciiTheme="majorHAnsi" w:hAnsiTheme="majorHAnsi"/>
          <w:sz w:val="16"/>
        </w:rPr>
        <w:tab/>
        <w:t>”</w:t>
      </w:r>
      <w:r w:rsidRPr="004F0CED">
        <w:rPr>
          <w:rFonts w:asciiTheme="majorHAnsi" w:hAnsiTheme="majorHAnsi"/>
          <w:sz w:val="16"/>
        </w:rPr>
        <w:tab/>
        <w:t>8th</w:t>
      </w:r>
      <w:r w:rsidRPr="004F0CED">
        <w:rPr>
          <w:rFonts w:asciiTheme="majorHAnsi" w:hAnsiTheme="majorHAnsi"/>
          <w:sz w:val="16"/>
        </w:rPr>
        <w:tab/>
        <w:t>”</w:t>
      </w:r>
      <w:r w:rsidRPr="004F0CED">
        <w:rPr>
          <w:rFonts w:asciiTheme="majorHAnsi" w:hAnsiTheme="majorHAnsi"/>
          <w:sz w:val="16"/>
        </w:rPr>
        <w:tab/>
        <w:t>£150</w:t>
      </w:r>
      <w:r w:rsidRPr="004F0CED">
        <w:rPr>
          <w:rFonts w:asciiTheme="majorHAnsi" w:hAnsiTheme="majorHAnsi"/>
          <w:sz w:val="16"/>
        </w:rPr>
        <w:tab/>
        <w:t>”</w:t>
      </w:r>
      <w:r w:rsidRPr="004F0CED">
        <w:rPr>
          <w:rFonts w:asciiTheme="majorHAnsi" w:hAnsiTheme="majorHAnsi"/>
          <w:sz w:val="16"/>
        </w:rPr>
        <w:br/>
        <w:t>(j)</w:t>
      </w:r>
      <w:r w:rsidRPr="004F0CED">
        <w:rPr>
          <w:rFonts w:asciiTheme="majorHAnsi" w:hAnsiTheme="majorHAnsi"/>
          <w:sz w:val="16"/>
        </w:rPr>
        <w:tab/>
        <w:t>”</w:t>
      </w:r>
      <w:r w:rsidRPr="004F0CED">
        <w:rPr>
          <w:rFonts w:asciiTheme="majorHAnsi" w:hAnsiTheme="majorHAnsi"/>
          <w:sz w:val="16"/>
        </w:rPr>
        <w:tab/>
        <w:t>9th</w:t>
      </w:r>
      <w:r w:rsidRPr="004F0CED">
        <w:rPr>
          <w:rFonts w:asciiTheme="majorHAnsi" w:hAnsiTheme="majorHAnsi"/>
          <w:sz w:val="16"/>
        </w:rPr>
        <w:tab/>
        <w:t>”</w:t>
      </w:r>
      <w:r w:rsidRPr="004F0CED">
        <w:rPr>
          <w:rFonts w:asciiTheme="majorHAnsi" w:hAnsiTheme="majorHAnsi"/>
          <w:sz w:val="16"/>
        </w:rPr>
        <w:tab/>
        <w:t>£200</w:t>
      </w:r>
      <w:r w:rsidRPr="004F0CED">
        <w:rPr>
          <w:rFonts w:asciiTheme="majorHAnsi" w:hAnsiTheme="majorHAnsi"/>
          <w:sz w:val="16"/>
        </w:rPr>
        <w:tab/>
        <w:t>”</w:t>
      </w:r>
      <w:r w:rsidRPr="004F0CED">
        <w:rPr>
          <w:rFonts w:asciiTheme="majorHAnsi" w:hAnsiTheme="majorHAnsi"/>
          <w:sz w:val="16"/>
        </w:rPr>
        <w:br/>
        <w:t>(k)</w:t>
      </w:r>
      <w:r w:rsidRPr="004F0CED">
        <w:rPr>
          <w:rFonts w:asciiTheme="majorHAnsi" w:hAnsiTheme="majorHAnsi"/>
          <w:sz w:val="16"/>
        </w:rPr>
        <w:tab/>
        <w:t>”</w:t>
      </w:r>
      <w:r w:rsidRPr="004F0CED">
        <w:rPr>
          <w:rFonts w:asciiTheme="majorHAnsi" w:hAnsiTheme="majorHAnsi"/>
          <w:sz w:val="16"/>
        </w:rPr>
        <w:tab/>
        <w:t>10th</w:t>
      </w:r>
      <w:r w:rsidRPr="004F0CED">
        <w:rPr>
          <w:rFonts w:asciiTheme="majorHAnsi" w:hAnsiTheme="majorHAnsi"/>
          <w:sz w:val="16"/>
        </w:rPr>
        <w:tab/>
        <w:t>”</w:t>
      </w:r>
      <w:r w:rsidRPr="004F0CED">
        <w:rPr>
          <w:rFonts w:asciiTheme="majorHAnsi" w:hAnsiTheme="majorHAnsi"/>
          <w:sz w:val="16"/>
        </w:rPr>
        <w:tab/>
        <w:t>£250</w:t>
      </w:r>
      <w:r w:rsidRPr="004F0CED">
        <w:rPr>
          <w:rFonts w:asciiTheme="majorHAnsi" w:hAnsiTheme="majorHAnsi"/>
          <w:sz w:val="16"/>
        </w:rPr>
        <w:tab/>
        <w:t>”</w:t>
      </w:r>
      <w:r w:rsidRPr="004F0CED">
        <w:rPr>
          <w:rFonts w:asciiTheme="majorHAnsi" w:hAnsiTheme="majorHAnsi"/>
          <w:sz w:val="16"/>
        </w:rPr>
        <w:br/>
        <w:t>(l)</w:t>
      </w:r>
      <w:r w:rsidRPr="004F0CED">
        <w:rPr>
          <w:rFonts w:asciiTheme="majorHAnsi" w:hAnsiTheme="majorHAnsi"/>
          <w:sz w:val="16"/>
        </w:rPr>
        <w:tab/>
        <w:t>”</w:t>
      </w:r>
      <w:r w:rsidRPr="004F0CED">
        <w:rPr>
          <w:rFonts w:asciiTheme="majorHAnsi" w:hAnsiTheme="majorHAnsi"/>
          <w:sz w:val="16"/>
        </w:rPr>
        <w:tab/>
        <w:t>11th</w:t>
      </w:r>
      <w:r w:rsidRPr="004F0CED">
        <w:rPr>
          <w:rFonts w:asciiTheme="majorHAnsi" w:hAnsiTheme="majorHAnsi"/>
          <w:sz w:val="16"/>
        </w:rPr>
        <w:tab/>
        <w:t>”</w:t>
      </w:r>
      <w:r w:rsidRPr="004F0CED">
        <w:rPr>
          <w:rFonts w:asciiTheme="majorHAnsi" w:hAnsiTheme="majorHAnsi"/>
          <w:sz w:val="16"/>
        </w:rPr>
        <w:tab/>
        <w:t>£300</w:t>
      </w:r>
      <w:r w:rsidRPr="004F0CED">
        <w:rPr>
          <w:rFonts w:asciiTheme="majorHAnsi" w:hAnsiTheme="majorHAnsi"/>
          <w:sz w:val="16"/>
        </w:rPr>
        <w:tab/>
        <w:t>”</w:t>
      </w:r>
      <w:r w:rsidRPr="004F0CED">
        <w:rPr>
          <w:rFonts w:asciiTheme="majorHAnsi" w:hAnsiTheme="majorHAnsi"/>
          <w:sz w:val="16"/>
        </w:rPr>
        <w:br/>
        <w:t>(m)</w:t>
      </w:r>
      <w:r w:rsidRPr="004F0CED">
        <w:rPr>
          <w:rFonts w:asciiTheme="majorHAnsi" w:hAnsiTheme="majorHAnsi"/>
          <w:sz w:val="16"/>
        </w:rPr>
        <w:tab/>
        <w:t>”</w:t>
      </w:r>
      <w:r w:rsidRPr="004F0CED">
        <w:rPr>
          <w:rFonts w:asciiTheme="majorHAnsi" w:hAnsiTheme="majorHAnsi"/>
          <w:sz w:val="16"/>
        </w:rPr>
        <w:tab/>
        <w:t>12th</w:t>
      </w:r>
      <w:r w:rsidRPr="004F0CED">
        <w:rPr>
          <w:rFonts w:asciiTheme="majorHAnsi" w:hAnsiTheme="majorHAnsi"/>
          <w:sz w:val="16"/>
        </w:rPr>
        <w:tab/>
        <w:t>”</w:t>
      </w:r>
      <w:r w:rsidRPr="004F0CED">
        <w:rPr>
          <w:rFonts w:asciiTheme="majorHAnsi" w:hAnsiTheme="majorHAnsi"/>
          <w:sz w:val="16"/>
        </w:rPr>
        <w:tab/>
        <w:t>£400</w:t>
      </w:r>
      <w:r w:rsidRPr="004F0CED">
        <w:rPr>
          <w:rFonts w:asciiTheme="majorHAnsi" w:hAnsiTheme="majorHAnsi"/>
          <w:sz w:val="16"/>
        </w:rPr>
        <w:tab/>
        <w:t>”</w:t>
      </w:r>
      <w:r w:rsidRPr="004F0CED">
        <w:rPr>
          <w:rFonts w:asciiTheme="majorHAnsi" w:hAnsiTheme="majorHAnsi"/>
          <w:sz w:val="16"/>
        </w:rPr>
        <w:br/>
        <w:t>(n)</w:t>
      </w:r>
      <w:r w:rsidRPr="004F0CED">
        <w:rPr>
          <w:rFonts w:asciiTheme="majorHAnsi" w:hAnsiTheme="majorHAnsi"/>
          <w:sz w:val="16"/>
        </w:rPr>
        <w:tab/>
        <w:t>”</w:t>
      </w:r>
      <w:r w:rsidRPr="004F0CED">
        <w:rPr>
          <w:rFonts w:asciiTheme="majorHAnsi" w:hAnsiTheme="majorHAnsi"/>
          <w:sz w:val="16"/>
        </w:rPr>
        <w:tab/>
        <w:t>13th</w:t>
      </w:r>
      <w:r w:rsidRPr="004F0CED">
        <w:rPr>
          <w:rFonts w:asciiTheme="majorHAnsi" w:hAnsiTheme="majorHAnsi"/>
          <w:sz w:val="16"/>
        </w:rPr>
        <w:tab/>
        <w:t>”</w:t>
      </w:r>
      <w:r w:rsidRPr="004F0CED">
        <w:rPr>
          <w:rFonts w:asciiTheme="majorHAnsi" w:hAnsiTheme="majorHAnsi"/>
          <w:sz w:val="16"/>
        </w:rPr>
        <w:tab/>
        <w:t>£500</w:t>
      </w:r>
      <w:r w:rsidRPr="004F0CED">
        <w:rPr>
          <w:rFonts w:asciiTheme="majorHAnsi" w:hAnsiTheme="majorHAnsi"/>
          <w:sz w:val="16"/>
        </w:rPr>
        <w:tab/>
        <w:t>”</w:t>
      </w:r>
      <w:r w:rsidRPr="004F0CED">
        <w:rPr>
          <w:rFonts w:asciiTheme="majorHAnsi" w:hAnsiTheme="majorHAnsi"/>
          <w:sz w:val="16"/>
        </w:rPr>
        <w:br/>
        <w:t>(o)</w:t>
      </w:r>
      <w:r w:rsidRPr="004F0CED">
        <w:rPr>
          <w:rFonts w:asciiTheme="majorHAnsi" w:hAnsiTheme="majorHAnsi"/>
          <w:sz w:val="16"/>
        </w:rPr>
        <w:tab/>
        <w:t>”</w:t>
      </w:r>
      <w:r w:rsidRPr="004F0CED">
        <w:rPr>
          <w:rFonts w:asciiTheme="majorHAnsi" w:hAnsiTheme="majorHAnsi"/>
          <w:sz w:val="16"/>
        </w:rPr>
        <w:tab/>
        <w:t>14th</w:t>
      </w:r>
      <w:r w:rsidRPr="004F0CED">
        <w:rPr>
          <w:rFonts w:asciiTheme="majorHAnsi" w:hAnsiTheme="majorHAnsi"/>
          <w:sz w:val="16"/>
        </w:rPr>
        <w:tab/>
        <w:t>”</w:t>
      </w:r>
      <w:r w:rsidRPr="004F0CED">
        <w:rPr>
          <w:rFonts w:asciiTheme="majorHAnsi" w:hAnsiTheme="majorHAnsi"/>
          <w:sz w:val="16"/>
        </w:rPr>
        <w:tab/>
        <w:t>£600</w:t>
      </w:r>
      <w:r w:rsidRPr="004F0CED">
        <w:rPr>
          <w:rFonts w:asciiTheme="majorHAnsi" w:hAnsiTheme="majorHAnsi"/>
          <w:sz w:val="16"/>
        </w:rPr>
        <w:tab/>
        <w:t>”</w:t>
      </w:r>
      <w:r w:rsidRPr="004F0CED">
        <w:rPr>
          <w:rFonts w:asciiTheme="majorHAnsi" w:hAnsiTheme="majorHAnsi"/>
          <w:sz w:val="16"/>
        </w:rPr>
        <w:br/>
        <w:t>(p)</w:t>
      </w:r>
      <w:r w:rsidRPr="004F0CED">
        <w:rPr>
          <w:rFonts w:asciiTheme="majorHAnsi" w:hAnsiTheme="majorHAnsi"/>
          <w:sz w:val="16"/>
        </w:rPr>
        <w:tab/>
        <w:t>”</w:t>
      </w:r>
      <w:r w:rsidRPr="004F0CED">
        <w:rPr>
          <w:rFonts w:asciiTheme="majorHAnsi" w:hAnsiTheme="majorHAnsi"/>
          <w:sz w:val="16"/>
        </w:rPr>
        <w:tab/>
        <w:t>15th</w:t>
      </w:r>
      <w:r w:rsidRPr="004F0CED">
        <w:rPr>
          <w:rFonts w:asciiTheme="majorHAnsi" w:hAnsiTheme="majorHAnsi"/>
          <w:sz w:val="16"/>
        </w:rPr>
        <w:tab/>
        <w:t>”</w:t>
      </w:r>
      <w:r w:rsidRPr="004F0CED">
        <w:rPr>
          <w:rFonts w:asciiTheme="majorHAnsi" w:hAnsiTheme="majorHAnsi"/>
          <w:sz w:val="16"/>
        </w:rPr>
        <w:tab/>
        <w:t>£700</w:t>
      </w:r>
      <w:r w:rsidRPr="004F0CED">
        <w:rPr>
          <w:rFonts w:asciiTheme="majorHAnsi" w:hAnsiTheme="majorHAnsi"/>
          <w:sz w:val="16"/>
        </w:rPr>
        <w:tab/>
        <w:t>”</w:t>
      </w:r>
      <w:r w:rsidRPr="004F0CED">
        <w:rPr>
          <w:rFonts w:asciiTheme="majorHAnsi" w:hAnsiTheme="majorHAnsi"/>
          <w:sz w:val="16"/>
        </w:rPr>
        <w:br/>
        <w:t>(q)</w:t>
      </w:r>
      <w:r w:rsidRPr="004F0CED">
        <w:rPr>
          <w:rFonts w:asciiTheme="majorHAnsi" w:hAnsiTheme="majorHAnsi"/>
          <w:sz w:val="16"/>
        </w:rPr>
        <w:tab/>
        <w:t>”</w:t>
      </w:r>
      <w:r w:rsidRPr="004F0CED">
        <w:rPr>
          <w:rFonts w:asciiTheme="majorHAnsi" w:hAnsiTheme="majorHAnsi"/>
          <w:sz w:val="16"/>
        </w:rPr>
        <w:tab/>
        <w:t>16th</w:t>
      </w:r>
      <w:r w:rsidRPr="004F0CED">
        <w:rPr>
          <w:rFonts w:asciiTheme="majorHAnsi" w:hAnsiTheme="majorHAnsi"/>
          <w:sz w:val="16"/>
        </w:rPr>
        <w:tab/>
        <w:t>”</w:t>
      </w:r>
      <w:r w:rsidRPr="004F0CED">
        <w:rPr>
          <w:rFonts w:asciiTheme="majorHAnsi" w:hAnsiTheme="majorHAnsi"/>
          <w:sz w:val="16"/>
        </w:rPr>
        <w:tab/>
        <w:t>£800</w:t>
      </w:r>
      <w:r w:rsidRPr="004F0CED">
        <w:rPr>
          <w:rFonts w:asciiTheme="majorHAnsi" w:hAnsiTheme="majorHAnsi"/>
          <w:sz w:val="16"/>
        </w:rPr>
        <w:tab/>
        <w:t>”</w:t>
      </w:r>
      <w:r w:rsidRPr="004F0CED">
        <w:rPr>
          <w:rFonts w:asciiTheme="majorHAnsi" w:hAnsiTheme="majorHAnsi"/>
          <w:sz w:val="16"/>
        </w:rPr>
        <w:br/>
        <w:t>(r)</w:t>
      </w:r>
      <w:r w:rsidRPr="004F0CED">
        <w:rPr>
          <w:rFonts w:asciiTheme="majorHAnsi" w:hAnsiTheme="majorHAnsi"/>
          <w:sz w:val="16"/>
        </w:rPr>
        <w:tab/>
        <w:t>”</w:t>
      </w:r>
      <w:r w:rsidRPr="004F0CED">
        <w:rPr>
          <w:rFonts w:asciiTheme="majorHAnsi" w:hAnsiTheme="majorHAnsi"/>
          <w:sz w:val="16"/>
        </w:rPr>
        <w:tab/>
        <w:t>17th</w:t>
      </w:r>
      <w:r w:rsidRPr="004F0CED">
        <w:rPr>
          <w:rFonts w:asciiTheme="majorHAnsi" w:hAnsiTheme="majorHAnsi"/>
          <w:sz w:val="16"/>
        </w:rPr>
        <w:tab/>
        <w:t>”</w:t>
      </w:r>
      <w:r w:rsidRPr="004F0CED">
        <w:rPr>
          <w:rFonts w:asciiTheme="majorHAnsi" w:hAnsiTheme="majorHAnsi"/>
          <w:sz w:val="16"/>
        </w:rPr>
        <w:tab/>
        <w:t>£900</w:t>
      </w:r>
      <w:r w:rsidRPr="004F0CED">
        <w:rPr>
          <w:rFonts w:asciiTheme="majorHAnsi" w:hAnsiTheme="majorHAnsi"/>
          <w:sz w:val="16"/>
        </w:rPr>
        <w:tab/>
        <w:t>”</w:t>
      </w:r>
      <w:r w:rsidRPr="004F0CED">
        <w:rPr>
          <w:rFonts w:asciiTheme="majorHAnsi" w:hAnsiTheme="majorHAnsi"/>
          <w:sz w:val="16"/>
        </w:rPr>
        <w:br/>
        <w:t>(s)</w:t>
      </w:r>
      <w:r w:rsidRPr="004F0CED">
        <w:rPr>
          <w:rFonts w:asciiTheme="majorHAnsi" w:hAnsiTheme="majorHAnsi"/>
          <w:sz w:val="16"/>
        </w:rPr>
        <w:tab/>
        <w:t>”</w:t>
      </w:r>
      <w:r w:rsidRPr="004F0CED">
        <w:rPr>
          <w:rFonts w:asciiTheme="majorHAnsi" w:hAnsiTheme="majorHAnsi"/>
          <w:sz w:val="16"/>
        </w:rPr>
        <w:tab/>
        <w:t>18th</w:t>
      </w:r>
      <w:r w:rsidRPr="004F0CED">
        <w:rPr>
          <w:rFonts w:asciiTheme="majorHAnsi" w:hAnsiTheme="majorHAnsi"/>
          <w:sz w:val="16"/>
        </w:rPr>
        <w:tab/>
        <w:t>”</w:t>
      </w:r>
      <w:r w:rsidRPr="004F0CED">
        <w:rPr>
          <w:rFonts w:asciiTheme="majorHAnsi" w:hAnsiTheme="majorHAnsi"/>
          <w:sz w:val="16"/>
        </w:rPr>
        <w:tab/>
        <w:t>£1,000</w:t>
      </w:r>
      <w:r w:rsidRPr="004F0CED">
        <w:rPr>
          <w:rFonts w:asciiTheme="majorHAnsi" w:hAnsiTheme="majorHAnsi"/>
          <w:sz w:val="16"/>
        </w:rPr>
        <w:tab/>
        <w:t>”</w:t>
      </w:r>
      <w:r w:rsidRPr="004F0CED">
        <w:rPr>
          <w:rFonts w:asciiTheme="majorHAnsi" w:hAnsiTheme="majorHAnsi"/>
          <w:sz w:val="16"/>
        </w:rPr>
        <w:br/>
        <w:t>(t)</w:t>
      </w:r>
      <w:r w:rsidRPr="004F0CED">
        <w:rPr>
          <w:rFonts w:asciiTheme="majorHAnsi" w:hAnsiTheme="majorHAnsi"/>
          <w:sz w:val="16"/>
        </w:rPr>
        <w:tab/>
        <w:t>”</w:t>
      </w:r>
      <w:r w:rsidRPr="004F0CED">
        <w:rPr>
          <w:rFonts w:asciiTheme="majorHAnsi" w:hAnsiTheme="majorHAnsi"/>
          <w:sz w:val="16"/>
        </w:rPr>
        <w:tab/>
        <w:t>19th</w:t>
      </w:r>
      <w:r w:rsidRPr="004F0CED">
        <w:rPr>
          <w:rFonts w:asciiTheme="majorHAnsi" w:hAnsiTheme="majorHAnsi"/>
          <w:sz w:val="16"/>
        </w:rPr>
        <w:tab/>
        <w:t>”</w:t>
      </w:r>
      <w:r w:rsidRPr="004F0CED">
        <w:rPr>
          <w:rFonts w:asciiTheme="majorHAnsi" w:hAnsiTheme="majorHAnsi"/>
          <w:sz w:val="16"/>
        </w:rPr>
        <w:tab/>
        <w:t>£1,100</w:t>
      </w:r>
      <w:r w:rsidRPr="004F0CED">
        <w:rPr>
          <w:rFonts w:asciiTheme="majorHAnsi" w:hAnsiTheme="majorHAnsi"/>
          <w:sz w:val="16"/>
        </w:rPr>
        <w:tab/>
        <w:t>”</w:t>
      </w:r>
      <w:r w:rsidRPr="004F0CED">
        <w:rPr>
          <w:rFonts w:asciiTheme="majorHAnsi" w:hAnsiTheme="majorHAnsi"/>
          <w:sz w:val="16"/>
        </w:rPr>
        <w:br/>
        <w:t xml:space="preserve">(u) </w:t>
      </w:r>
      <w:r w:rsidRPr="004F0CED">
        <w:rPr>
          <w:rFonts w:asciiTheme="majorHAnsi" w:hAnsiTheme="majorHAnsi"/>
          <w:sz w:val="16"/>
        </w:rPr>
        <w:tab/>
        <w:t>on the 20th and every subsequent anniversary of the said date, £1,200 multiplied by the area factor.</w:t>
      </w:r>
    </w:p>
    <w:p w14:paraId="4BE71174" w14:textId="77777777" w:rsidR="00232DA0" w:rsidRPr="004F0CED" w:rsidRDefault="00232DA0">
      <w:pPr>
        <w:pStyle w:val="NormalText"/>
        <w:rPr>
          <w:rFonts w:asciiTheme="majorHAnsi" w:hAnsiTheme="majorHAnsi"/>
          <w:sz w:val="16"/>
        </w:rPr>
      </w:pPr>
      <w:r w:rsidRPr="004F0CED">
        <w:rPr>
          <w:rFonts w:asciiTheme="majorHAnsi" w:hAnsiTheme="majorHAnsi"/>
          <w:sz w:val="16"/>
        </w:rPr>
        <w:t>(2) The periodic payments specified falling due after the sixth anniversary shall be subject to variation in accordance with the following provisions:</w:t>
      </w:r>
    </w:p>
    <w:p w14:paraId="4BE71175" w14:textId="77777777" w:rsidR="00232DA0" w:rsidRPr="004F0CED" w:rsidRDefault="00232DA0" w:rsidP="0042281B">
      <w:pPr>
        <w:pStyle w:val="FirstIndent"/>
        <w:ind w:left="180"/>
        <w:rPr>
          <w:rFonts w:asciiTheme="majorHAnsi" w:hAnsiTheme="majorHAnsi"/>
          <w:sz w:val="16"/>
        </w:rPr>
      </w:pPr>
      <w:r w:rsidRPr="004F0CED">
        <w:rPr>
          <w:rFonts w:asciiTheme="majorHAnsi" w:hAnsiTheme="majorHAnsi"/>
          <w:sz w:val="16"/>
        </w:rPr>
        <w:t xml:space="preserve">(a) subject to sub-paragraph (d) below, the periodic payments shall be increased or reduced at two-yearly </w:t>
      </w:r>
      <w:r w:rsidRPr="004F0CED">
        <w:rPr>
          <w:rFonts w:asciiTheme="majorHAnsi" w:hAnsiTheme="majorHAnsi"/>
          <w:sz w:val="16"/>
        </w:rPr>
        <w:t xml:space="preserve">intervals in line with movements in the Index of the Price of Crude Oil acquired by Refineries (published in the Digest of UK Energy Statistics) if the Minister so determines. The Minister shall give notice of any such determination (“biennial determination”) not less than one month preceding the date on which such payment falls due, and shall specify in the notice the increase or reduction in the amount payable. Movements in the Index shall be calculated by reference to a comparison between the arithmetic mean of the Index levels for the two latest calendar years for which figures are available at the time when the determination is made, and the arithmetic mean of the Index levels for 2003 and 2004. </w:t>
      </w:r>
      <w:proofErr w:type="gramStart"/>
      <w:r w:rsidRPr="004F0CED">
        <w:rPr>
          <w:rFonts w:asciiTheme="majorHAnsi" w:hAnsiTheme="majorHAnsi"/>
          <w:sz w:val="16"/>
        </w:rPr>
        <w:t>In the event that</w:t>
      </w:r>
      <w:proofErr w:type="gramEnd"/>
      <w:r w:rsidRPr="004F0CED">
        <w:rPr>
          <w:rFonts w:asciiTheme="majorHAnsi" w:hAnsiTheme="majorHAnsi"/>
          <w:sz w:val="16"/>
        </w:rPr>
        <w:t xml:space="preserve"> the Index of the Price of Crude Oil acquired by Refineries ceases to be published, the Minister may substitute arrangements for redetermination of periodic payments having substantially similar effect to those set out above based on such other comparable Index as he may determine; </w:t>
      </w:r>
    </w:p>
    <w:p w14:paraId="4BE71176" w14:textId="77777777" w:rsidR="00232DA0" w:rsidRPr="004F0CED" w:rsidRDefault="00232DA0" w:rsidP="0042281B">
      <w:pPr>
        <w:pStyle w:val="FirstIndent"/>
        <w:ind w:left="180"/>
        <w:rPr>
          <w:rFonts w:asciiTheme="majorHAnsi" w:hAnsiTheme="majorHAnsi"/>
          <w:sz w:val="16"/>
        </w:rPr>
      </w:pPr>
      <w:r w:rsidRPr="004F0CED">
        <w:rPr>
          <w:rFonts w:asciiTheme="majorHAnsi" w:hAnsiTheme="majorHAnsi"/>
          <w:sz w:val="16"/>
        </w:rPr>
        <w:t>(b)</w:t>
      </w:r>
      <w:r w:rsidRPr="004F0CED">
        <w:rPr>
          <w:rFonts w:asciiTheme="majorHAnsi" w:hAnsiTheme="majorHAnsi"/>
          <w:sz w:val="16"/>
        </w:rPr>
        <w:tab/>
        <w:t>The increase or reduction specified in a biennial determination shall be payable or take effect on the anniversary of the date of commencement of this Licence next following the date of the relevant determination.</w:t>
      </w:r>
    </w:p>
    <w:p w14:paraId="4BE71177" w14:textId="77777777" w:rsidR="00232DA0" w:rsidRPr="004F0CED" w:rsidRDefault="00232DA0" w:rsidP="0042281B">
      <w:pPr>
        <w:pStyle w:val="FirstIndent"/>
        <w:ind w:left="180"/>
        <w:rPr>
          <w:rFonts w:asciiTheme="majorHAnsi" w:hAnsiTheme="majorHAnsi"/>
          <w:sz w:val="16"/>
        </w:rPr>
      </w:pPr>
      <w:r w:rsidRPr="004F0CED">
        <w:rPr>
          <w:rFonts w:asciiTheme="majorHAnsi" w:hAnsiTheme="majorHAnsi"/>
          <w:sz w:val="16"/>
        </w:rPr>
        <w:t>(c)</w:t>
      </w:r>
      <w:r w:rsidRPr="004F0CED">
        <w:rPr>
          <w:rFonts w:asciiTheme="majorHAnsi" w:hAnsiTheme="majorHAnsi"/>
          <w:sz w:val="16"/>
        </w:rPr>
        <w:tab/>
        <w:t xml:space="preserve">No biennial determination shall have effect </w:t>
      </w:r>
      <w:proofErr w:type="gramStart"/>
      <w:r w:rsidRPr="004F0CED">
        <w:rPr>
          <w:rFonts w:asciiTheme="majorHAnsi" w:hAnsiTheme="majorHAnsi"/>
          <w:sz w:val="16"/>
        </w:rPr>
        <w:t>so as to</w:t>
      </w:r>
      <w:proofErr w:type="gramEnd"/>
      <w:r w:rsidRPr="004F0CED">
        <w:rPr>
          <w:rFonts w:asciiTheme="majorHAnsi" w:hAnsiTheme="majorHAnsi"/>
          <w:sz w:val="16"/>
        </w:rPr>
        <w:t xml:space="preserve"> reduce the periodic payments below the levels set out in sub-paragraph (1) above.</w:t>
      </w:r>
    </w:p>
    <w:p w14:paraId="4BE71178" w14:textId="77777777" w:rsidR="00232DA0" w:rsidRPr="004F0CED" w:rsidRDefault="00232DA0" w:rsidP="0042281B">
      <w:pPr>
        <w:pStyle w:val="FirstIndent"/>
        <w:ind w:left="180"/>
        <w:rPr>
          <w:rFonts w:asciiTheme="majorHAnsi" w:hAnsiTheme="majorHAnsi"/>
          <w:sz w:val="16"/>
        </w:rPr>
      </w:pPr>
      <w:r w:rsidRPr="004F0CED">
        <w:rPr>
          <w:rFonts w:asciiTheme="majorHAnsi" w:hAnsiTheme="majorHAnsi"/>
          <w:sz w:val="16"/>
        </w:rPr>
        <w:t>(d)</w:t>
      </w:r>
      <w:r w:rsidRPr="004F0CED">
        <w:rPr>
          <w:rFonts w:asciiTheme="majorHAnsi" w:hAnsiTheme="majorHAnsi"/>
          <w:sz w:val="16"/>
        </w:rPr>
        <w:tab/>
        <w:t>The Minister shall not make a biennial determination increasing or reducing the amounts payable where that increase or reduction would be 5% or less of the levels set following the previous biennial determination.</w:t>
      </w:r>
    </w:p>
    <w:p w14:paraId="4BE71179" w14:textId="77777777" w:rsidR="00232DA0" w:rsidRPr="004F0CED" w:rsidRDefault="00232DA0">
      <w:pPr>
        <w:pStyle w:val="NormalText"/>
        <w:rPr>
          <w:rFonts w:asciiTheme="majorHAnsi" w:hAnsiTheme="majorHAnsi"/>
          <w:sz w:val="16"/>
        </w:rPr>
      </w:pPr>
      <w:r w:rsidRPr="004F0CED">
        <w:rPr>
          <w:rFonts w:asciiTheme="majorHAnsi" w:hAnsiTheme="majorHAnsi"/>
          <w:sz w:val="16"/>
        </w:rPr>
        <w:t>(3)</w:t>
      </w:r>
      <w:r w:rsidRPr="004F0CED">
        <w:rPr>
          <w:rFonts w:asciiTheme="majorHAnsi" w:hAnsiTheme="majorHAnsi"/>
          <w:sz w:val="16"/>
        </w:rPr>
        <w:tab/>
        <w:t>In this Schedule “the area factor” means the number of square kilometres comprised in the Licensed Area at the date upon which the periodic payment in question becomes due.</w:t>
      </w:r>
    </w:p>
    <w:p w14:paraId="4BE7117A" w14:textId="77777777" w:rsidR="00232DA0" w:rsidRDefault="00232DA0">
      <w:pPr>
        <w:pStyle w:val="NormalIndent"/>
        <w:sectPr w:rsidR="00232DA0">
          <w:headerReference w:type="default" r:id="rId25"/>
          <w:footerReference w:type="default" r:id="rId26"/>
          <w:footnotePr>
            <w:numRestart w:val="eachPage"/>
          </w:footnotePr>
          <w:type w:val="continuous"/>
          <w:pgSz w:w="11906" w:h="16838"/>
          <w:pgMar w:top="1440" w:right="1440" w:bottom="1440" w:left="1440" w:header="706" w:footer="706" w:gutter="0"/>
          <w:cols w:num="2" w:space="708" w:equalWidth="0">
            <w:col w:w="4153" w:space="720"/>
            <w:col w:w="4153"/>
          </w:cols>
          <w:docGrid w:linePitch="360"/>
        </w:sectPr>
      </w:pPr>
    </w:p>
    <w:p w14:paraId="4BE7117B" w14:textId="77777777" w:rsidR="00232DA0" w:rsidRDefault="00232DA0">
      <w:pPr>
        <w:pStyle w:val="NormalIndent"/>
      </w:pPr>
    </w:p>
    <w:p w14:paraId="4BE7117C" w14:textId="77777777" w:rsidR="00232DA0" w:rsidRDefault="00232DA0">
      <w:pPr>
        <w:pStyle w:val="Heading2"/>
      </w:pPr>
      <w:bookmarkStart w:id="50" w:name="_Annexe_4:_Approved"/>
      <w:bookmarkStart w:id="51" w:name="_Annexe_2:_Approved"/>
      <w:bookmarkStart w:id="52" w:name="_Annexe_5:_Contacts"/>
      <w:bookmarkStart w:id="53" w:name="_Annexe_3:_Contacts"/>
      <w:bookmarkStart w:id="54" w:name="_Toc484787688"/>
      <w:bookmarkEnd w:id="50"/>
      <w:bookmarkEnd w:id="51"/>
      <w:bookmarkEnd w:id="52"/>
      <w:bookmarkEnd w:id="53"/>
      <w:r>
        <w:lastRenderedPageBreak/>
        <w:t xml:space="preserve">Annexe </w:t>
      </w:r>
      <w:r w:rsidR="00520A13">
        <w:t>2</w:t>
      </w:r>
      <w:r>
        <w:t>: Contacts</w:t>
      </w:r>
      <w:bookmarkEnd w:id="54"/>
      <w:r w:rsidR="00732144">
        <w:fldChar w:fldCharType="begin"/>
      </w:r>
      <w:r>
        <w:instrText xml:space="preserve"> XE "Contacts" </w:instrText>
      </w:r>
      <w:r w:rsidR="00732144">
        <w:fldChar w:fldCharType="end"/>
      </w:r>
    </w:p>
    <w:p w14:paraId="4BE7117D" w14:textId="77777777" w:rsidR="000435DC" w:rsidRDefault="00855BAB">
      <w:pPr>
        <w:pStyle w:val="ListNumber"/>
      </w:pPr>
      <w:r>
        <w:t>The</w:t>
      </w:r>
      <w:r w:rsidR="00B830D6">
        <w:t xml:space="preserve"> OGA</w:t>
      </w:r>
      <w:r w:rsidR="00F23C01">
        <w:t xml:space="preserve">’s </w:t>
      </w:r>
      <w:r w:rsidR="009E2304">
        <w:t xml:space="preserve">London </w:t>
      </w:r>
      <w:r w:rsidR="000435DC">
        <w:t>address is:</w:t>
      </w:r>
      <w:r w:rsidR="00216124">
        <w:t xml:space="preserve"> </w:t>
      </w:r>
    </w:p>
    <w:p w14:paraId="4BE7117E" w14:textId="77777777" w:rsidR="003B172B" w:rsidRDefault="003B172B" w:rsidP="003B172B">
      <w:pPr>
        <w:pStyle w:val="StyleBodyTextLeft097"/>
      </w:pPr>
      <w:r>
        <w:t>Oil and Gas Authority</w:t>
      </w:r>
    </w:p>
    <w:p w14:paraId="4BE7117F" w14:textId="77777777" w:rsidR="00F23C01" w:rsidRDefault="00F23C01" w:rsidP="00EB6FA4">
      <w:pPr>
        <w:pStyle w:val="StyleBodyTextLeft097"/>
      </w:pPr>
      <w:r>
        <w:t>4</w:t>
      </w:r>
      <w:r w:rsidRPr="00B1244E">
        <w:rPr>
          <w:vertAlign w:val="superscript"/>
        </w:rPr>
        <w:t>th</w:t>
      </w:r>
      <w:r>
        <w:t xml:space="preserve"> Floor</w:t>
      </w:r>
    </w:p>
    <w:p w14:paraId="4BE71180" w14:textId="77777777" w:rsidR="00F23C01" w:rsidRDefault="00F23C01" w:rsidP="00EB6FA4">
      <w:pPr>
        <w:pStyle w:val="StyleBodyTextLeft097"/>
      </w:pPr>
      <w:r>
        <w:t>21 Bloomsbury Street</w:t>
      </w:r>
    </w:p>
    <w:p w14:paraId="4BE71181" w14:textId="77777777" w:rsidR="00F23C01" w:rsidRDefault="00F23C01" w:rsidP="00EB6FA4">
      <w:pPr>
        <w:pStyle w:val="StyleBodyTextLeft097"/>
      </w:pPr>
      <w:r>
        <w:t>London</w:t>
      </w:r>
    </w:p>
    <w:p w14:paraId="4BE71182" w14:textId="77777777" w:rsidR="00F23C01" w:rsidRDefault="00F23C01" w:rsidP="00EB6FA4">
      <w:pPr>
        <w:pStyle w:val="StyleBodyTextLeft097"/>
      </w:pPr>
      <w:r>
        <w:t xml:space="preserve">WC1B 3HF </w:t>
      </w:r>
    </w:p>
    <w:p w14:paraId="4BE71183" w14:textId="77777777" w:rsidR="00AE70E8" w:rsidRPr="00AE70E8" w:rsidRDefault="00855BAB" w:rsidP="00AE70E8">
      <w:pPr>
        <w:pStyle w:val="ListNumber"/>
      </w:pPr>
      <w:r>
        <w:t>The</w:t>
      </w:r>
      <w:r w:rsidR="00B830D6">
        <w:t xml:space="preserve"> OGA</w:t>
      </w:r>
      <w:r w:rsidR="00F23C01" w:rsidRPr="00AE70E8">
        <w:t xml:space="preserve">’s </w:t>
      </w:r>
      <w:r w:rsidR="00AE70E8" w:rsidRPr="00AE70E8">
        <w:t xml:space="preserve">Aberdeen address is: </w:t>
      </w:r>
    </w:p>
    <w:p w14:paraId="4BE71184" w14:textId="77777777" w:rsidR="00F23C01" w:rsidRDefault="00F23C01" w:rsidP="00AE70E8">
      <w:pPr>
        <w:pStyle w:val="StyleBodyTextLeft097"/>
      </w:pPr>
      <w:r>
        <w:t>O</w:t>
      </w:r>
      <w:r w:rsidR="003B172B">
        <w:t>il and Gas Authority</w:t>
      </w:r>
    </w:p>
    <w:p w14:paraId="4BE71185" w14:textId="77777777" w:rsidR="00AE70E8" w:rsidRPr="00AE70E8" w:rsidRDefault="003B172B" w:rsidP="00AE70E8">
      <w:pPr>
        <w:pStyle w:val="StyleBodyTextLeft097"/>
        <w:rPr>
          <w:rFonts w:cs="Arial"/>
          <w:color w:val="000000"/>
        </w:rPr>
      </w:pPr>
      <w:r>
        <w:rPr>
          <w:rStyle w:val="street-address"/>
          <w:lang w:val="en"/>
        </w:rPr>
        <w:t xml:space="preserve">AB1 Building </w:t>
      </w:r>
      <w:r>
        <w:rPr>
          <w:lang w:val="en"/>
        </w:rPr>
        <w:br/>
      </w:r>
      <w:r>
        <w:rPr>
          <w:rStyle w:val="street-address"/>
          <w:lang w:val="en"/>
        </w:rPr>
        <w:t xml:space="preserve">48 Huntly Street </w:t>
      </w:r>
      <w:r>
        <w:rPr>
          <w:lang w:val="en"/>
        </w:rPr>
        <w:br/>
      </w:r>
      <w:r>
        <w:rPr>
          <w:rStyle w:val="locality"/>
          <w:lang w:val="en"/>
        </w:rPr>
        <w:t>Aberdeen</w:t>
      </w:r>
      <w:r>
        <w:rPr>
          <w:lang w:val="en"/>
        </w:rPr>
        <w:br/>
      </w:r>
      <w:r>
        <w:rPr>
          <w:rStyle w:val="postal-code"/>
          <w:lang w:val="en"/>
        </w:rPr>
        <w:t>AB10 1SH</w:t>
      </w:r>
      <w:r w:rsidR="00AE70E8">
        <w:rPr>
          <w:rStyle w:val="Emphasis"/>
          <w:rFonts w:cs="Arial"/>
          <w:b w:val="0"/>
          <w:color w:val="000000"/>
        </w:rPr>
        <w:t xml:space="preserve"> </w:t>
      </w:r>
    </w:p>
    <w:p w14:paraId="4BE71186" w14:textId="77777777" w:rsidR="00232DA0" w:rsidRDefault="009E2304">
      <w:pPr>
        <w:pStyle w:val="ListNumber"/>
      </w:pPr>
      <w:r>
        <w:t xml:space="preserve">To discuss </w:t>
      </w:r>
      <w:r w:rsidR="00855BAB">
        <w:t>the</w:t>
      </w:r>
      <w:r w:rsidR="00B830D6">
        <w:t xml:space="preserve"> OGA</w:t>
      </w:r>
      <w:r w:rsidR="00F23C01">
        <w:t xml:space="preserve">’s </w:t>
      </w:r>
      <w:r w:rsidR="00232DA0">
        <w:rPr>
          <w:b/>
        </w:rPr>
        <w:t>financial appraisal</w:t>
      </w:r>
      <w:r w:rsidR="00232DA0">
        <w:t>, contact Nic Rogers:</w:t>
      </w:r>
    </w:p>
    <w:p w14:paraId="4BE71187" w14:textId="77777777" w:rsidR="00EC2D3B" w:rsidRDefault="00232DA0" w:rsidP="00EB6FA4">
      <w:pPr>
        <w:pStyle w:val="StyleBodyTextLeft097"/>
      </w:pPr>
      <w:proofErr w:type="spellStart"/>
      <w:r>
        <w:t>tel</w:t>
      </w:r>
      <w:proofErr w:type="spellEnd"/>
      <w:r>
        <w:t xml:space="preserve">: </w:t>
      </w:r>
      <w:r>
        <w:tab/>
      </w:r>
      <w:r w:rsidR="00BA78DB">
        <w:t>0300 06</w:t>
      </w:r>
      <w:r w:rsidR="00F23C01">
        <w:t>7</w:t>
      </w:r>
      <w:r w:rsidR="00BA78DB">
        <w:t xml:space="preserve"> </w:t>
      </w:r>
      <w:r w:rsidR="00B1244E">
        <w:t>1627</w:t>
      </w:r>
      <w:r>
        <w:t xml:space="preserve">; </w:t>
      </w:r>
    </w:p>
    <w:p w14:paraId="4BE71188" w14:textId="7FFB9DF5" w:rsidR="00232DA0" w:rsidRDefault="00232DA0" w:rsidP="00EB6FA4">
      <w:pPr>
        <w:pStyle w:val="StyleBodyTextLeft097"/>
      </w:pPr>
      <w:r>
        <w:t xml:space="preserve">email: </w:t>
      </w:r>
      <w:r>
        <w:tab/>
      </w:r>
      <w:hyperlink r:id="rId27" w:history="1">
        <w:r w:rsidR="002F36BD" w:rsidRPr="00F010DD">
          <w:rPr>
            <w:rStyle w:val="Hyperlink"/>
          </w:rPr>
          <w:t>nicholas.rogers@ogauthority.co.uk</w:t>
        </w:r>
      </w:hyperlink>
    </w:p>
    <w:p w14:paraId="4BE71189" w14:textId="77777777" w:rsidR="00232DA0" w:rsidRDefault="009E2304">
      <w:pPr>
        <w:pStyle w:val="ListNumber"/>
      </w:pPr>
      <w:r>
        <w:t xml:space="preserve">To discuss </w:t>
      </w:r>
      <w:r w:rsidR="00232DA0" w:rsidRPr="00BE6CF7">
        <w:rPr>
          <w:b/>
          <w:i/>
        </w:rPr>
        <w:t>landward</w:t>
      </w:r>
      <w:r w:rsidR="00232DA0">
        <w:t xml:space="preserve"> </w:t>
      </w:r>
      <w:r w:rsidR="00232DA0">
        <w:rPr>
          <w:b/>
        </w:rPr>
        <w:t>geological and other technical issues</w:t>
      </w:r>
      <w:r w:rsidR="00550AB6">
        <w:rPr>
          <w:b/>
        </w:rPr>
        <w:t xml:space="preserve"> </w:t>
      </w:r>
      <w:r w:rsidR="00232DA0">
        <w:t>(Appendix B)</w:t>
      </w:r>
      <w:r w:rsidR="00550AB6" w:rsidRPr="00550AB6">
        <w:rPr>
          <w:b/>
        </w:rPr>
        <w:t xml:space="preserve"> </w:t>
      </w:r>
      <w:r w:rsidR="00550AB6" w:rsidRPr="005C780F">
        <w:t xml:space="preserve">and </w:t>
      </w:r>
      <w:r w:rsidR="005C780F" w:rsidRPr="005C780F">
        <w:t>the</w:t>
      </w:r>
      <w:r w:rsidR="005C780F">
        <w:rPr>
          <w:b/>
        </w:rPr>
        <w:t xml:space="preserve"> </w:t>
      </w:r>
      <w:r w:rsidR="003B172B">
        <w:rPr>
          <w:b/>
        </w:rPr>
        <w:t xml:space="preserve">landward </w:t>
      </w:r>
      <w:r w:rsidR="00550AB6">
        <w:rPr>
          <w:b/>
        </w:rPr>
        <w:t>marks scheme</w:t>
      </w:r>
      <w:r w:rsidR="00232DA0">
        <w:t xml:space="preserve">, contact </w:t>
      </w:r>
      <w:r w:rsidR="008B67DA">
        <w:t>Toni Harvey</w:t>
      </w:r>
      <w:r w:rsidR="00232DA0">
        <w:t>:</w:t>
      </w:r>
    </w:p>
    <w:p w14:paraId="4BE7118A" w14:textId="77777777" w:rsidR="00232DA0" w:rsidRDefault="00232DA0" w:rsidP="00EB6FA4">
      <w:pPr>
        <w:pStyle w:val="StyleBodyTextLeft097"/>
      </w:pPr>
      <w:proofErr w:type="spellStart"/>
      <w:r>
        <w:t>tel</w:t>
      </w:r>
      <w:proofErr w:type="spellEnd"/>
      <w:r>
        <w:t xml:space="preserve">: </w:t>
      </w:r>
      <w:r>
        <w:tab/>
      </w:r>
      <w:r w:rsidR="00FA68B3">
        <w:t>0300 06</w:t>
      </w:r>
      <w:r w:rsidR="00F23C01">
        <w:t>7</w:t>
      </w:r>
      <w:r w:rsidR="00FA68B3">
        <w:t xml:space="preserve"> </w:t>
      </w:r>
      <w:r w:rsidR="00D20241">
        <w:t>1611</w:t>
      </w:r>
      <w:r w:rsidR="00DD7D34">
        <w:t>;</w:t>
      </w:r>
    </w:p>
    <w:p w14:paraId="4BE7118B" w14:textId="72E7C8BF" w:rsidR="00232DA0" w:rsidRDefault="00232DA0" w:rsidP="00EB6FA4">
      <w:pPr>
        <w:pStyle w:val="StyleBodyTextLeft097"/>
      </w:pPr>
      <w:r>
        <w:t xml:space="preserve">email: </w:t>
      </w:r>
      <w:r>
        <w:tab/>
      </w:r>
      <w:hyperlink r:id="rId28" w:history="1">
        <w:r w:rsidR="002F36BD" w:rsidRPr="00F010DD">
          <w:rPr>
            <w:rStyle w:val="Hyperlink"/>
          </w:rPr>
          <w:t>toni.harvey@ogauthority.co.uk</w:t>
        </w:r>
      </w:hyperlink>
    </w:p>
    <w:p w14:paraId="4BE7118C" w14:textId="2A0A6432" w:rsidR="00232DA0" w:rsidRDefault="009E2304">
      <w:pPr>
        <w:pStyle w:val="ListNumber"/>
      </w:pPr>
      <w:r>
        <w:t xml:space="preserve">To discuss </w:t>
      </w:r>
      <w:r w:rsidR="00232DA0" w:rsidRPr="00BE6CF7">
        <w:rPr>
          <w:b/>
          <w:i/>
        </w:rPr>
        <w:t>seaward</w:t>
      </w:r>
      <w:r w:rsidR="00232DA0">
        <w:t xml:space="preserve"> </w:t>
      </w:r>
      <w:r w:rsidR="00232DA0">
        <w:rPr>
          <w:b/>
        </w:rPr>
        <w:t>geological and other technical issues</w:t>
      </w:r>
      <w:r w:rsidR="00232DA0">
        <w:t xml:space="preserve"> (Appendix B)</w:t>
      </w:r>
      <w:r w:rsidR="005C780F">
        <w:t xml:space="preserve"> </w:t>
      </w:r>
      <w:r w:rsidR="005C780F" w:rsidRPr="005C780F">
        <w:t>and the</w:t>
      </w:r>
      <w:r w:rsidR="005C780F">
        <w:rPr>
          <w:b/>
        </w:rPr>
        <w:t xml:space="preserve"> </w:t>
      </w:r>
      <w:r w:rsidR="00BE6CF7">
        <w:rPr>
          <w:b/>
        </w:rPr>
        <w:t xml:space="preserve">seaward </w:t>
      </w:r>
      <w:r w:rsidR="005C780F">
        <w:rPr>
          <w:b/>
        </w:rPr>
        <w:t>marks scheme</w:t>
      </w:r>
      <w:r w:rsidR="00232DA0">
        <w:t>, contact Jen Brzozowska:</w:t>
      </w:r>
    </w:p>
    <w:p w14:paraId="4BE7118D" w14:textId="77777777" w:rsidR="00232DA0" w:rsidRPr="0051490F" w:rsidRDefault="00232DA0" w:rsidP="00EB6FA4">
      <w:pPr>
        <w:pStyle w:val="StyleBodyTextLeft097"/>
      </w:pPr>
      <w:proofErr w:type="spellStart"/>
      <w:r w:rsidRPr="0051490F">
        <w:t>tel</w:t>
      </w:r>
      <w:proofErr w:type="spellEnd"/>
      <w:r w:rsidRPr="0051490F">
        <w:t xml:space="preserve">: </w:t>
      </w:r>
      <w:r w:rsidRPr="0051490F">
        <w:tab/>
      </w:r>
      <w:r w:rsidR="008B67DA">
        <w:t>0300 06</w:t>
      </w:r>
      <w:r w:rsidR="00F23C01">
        <w:t>7</w:t>
      </w:r>
      <w:r w:rsidR="008B67DA">
        <w:t xml:space="preserve"> </w:t>
      </w:r>
      <w:r w:rsidR="00F23C01">
        <w:t>1</w:t>
      </w:r>
      <w:r w:rsidR="008B67DA">
        <w:t>603</w:t>
      </w:r>
      <w:r w:rsidRPr="0051490F">
        <w:t xml:space="preserve">; </w:t>
      </w:r>
    </w:p>
    <w:p w14:paraId="4BE7118E" w14:textId="410D3442" w:rsidR="00232DA0" w:rsidRPr="0051490F" w:rsidRDefault="00232DA0" w:rsidP="00EB6FA4">
      <w:pPr>
        <w:pStyle w:val="StyleBodyTextLeft097"/>
      </w:pPr>
      <w:r w:rsidRPr="0051490F">
        <w:t xml:space="preserve">email: </w:t>
      </w:r>
      <w:r w:rsidRPr="0051490F">
        <w:tab/>
      </w:r>
      <w:hyperlink r:id="rId29" w:history="1">
        <w:r w:rsidR="002F36BD" w:rsidRPr="00F010DD">
          <w:rPr>
            <w:rStyle w:val="Hyperlink"/>
          </w:rPr>
          <w:t>jen.brzozowska@ogauthority.co.uk</w:t>
        </w:r>
      </w:hyperlink>
    </w:p>
    <w:p w14:paraId="4BE7118F" w14:textId="28FF767A" w:rsidR="00232DA0" w:rsidRPr="00F548EE" w:rsidRDefault="009E2304">
      <w:pPr>
        <w:pStyle w:val="ListNumber"/>
      </w:pPr>
      <w:r w:rsidRPr="00F548EE">
        <w:t xml:space="preserve">To discuss </w:t>
      </w:r>
      <w:r w:rsidR="003F11E7">
        <w:t xml:space="preserve">safety and </w:t>
      </w:r>
      <w:r w:rsidR="00232DA0" w:rsidRPr="00F548EE">
        <w:rPr>
          <w:b/>
        </w:rPr>
        <w:t>environmental issues</w:t>
      </w:r>
      <w:r w:rsidR="00232DA0" w:rsidRPr="00F548EE">
        <w:t xml:space="preserve"> (</w:t>
      </w:r>
      <w:r w:rsidR="00B1244E">
        <w:t xml:space="preserve">including the </w:t>
      </w:r>
      <w:r w:rsidR="00232DA0" w:rsidRPr="00F548EE">
        <w:t>Appendix C</w:t>
      </w:r>
      <w:r w:rsidR="002B486C">
        <w:t>, which covers safety and environmental issues for seaward production licences</w:t>
      </w:r>
      <w:r w:rsidR="00232DA0" w:rsidRPr="00F548EE">
        <w:t>), contact</w:t>
      </w:r>
      <w:r w:rsidR="00B1244E">
        <w:t xml:space="preserve"> </w:t>
      </w:r>
      <w:r w:rsidR="00421038">
        <w:t xml:space="preserve">the </w:t>
      </w:r>
      <w:r w:rsidR="0009676C">
        <w:t>BEIS</w:t>
      </w:r>
      <w:r w:rsidR="00B1244E">
        <w:t xml:space="preserve"> </w:t>
      </w:r>
      <w:r w:rsidR="00421038">
        <w:rPr>
          <w:rFonts w:ascii="Tahoma" w:hAnsi="Tahoma" w:cs="Tahoma"/>
          <w:lang w:val="en-US" w:eastAsia="en-GB"/>
        </w:rPr>
        <w:t>Cross Unit Business Support Team</w:t>
      </w:r>
      <w:r w:rsidR="00B1244E">
        <w:t>:</w:t>
      </w:r>
      <w:r w:rsidR="00232DA0" w:rsidRPr="00F548EE">
        <w:t xml:space="preserve"> </w:t>
      </w:r>
    </w:p>
    <w:p w14:paraId="4BE71191" w14:textId="1B3A9707" w:rsidR="00232DA0" w:rsidRPr="00F548EE" w:rsidRDefault="00232DA0" w:rsidP="00EB6FA4">
      <w:pPr>
        <w:pStyle w:val="StyleBodyTextLeft097"/>
        <w:rPr>
          <w:lang w:val="pt-BR"/>
        </w:rPr>
      </w:pPr>
      <w:r w:rsidRPr="00F548EE">
        <w:rPr>
          <w:lang w:val="pt-BR"/>
        </w:rPr>
        <w:t xml:space="preserve">e-mail: </w:t>
      </w:r>
      <w:r w:rsidRPr="00F548EE">
        <w:rPr>
          <w:lang w:val="pt-BR"/>
        </w:rPr>
        <w:tab/>
      </w:r>
      <w:r w:rsidR="00A51FC4">
        <w:fldChar w:fldCharType="begin"/>
      </w:r>
      <w:r w:rsidR="00A51FC4">
        <w:instrText xml:space="preserve"> HYPERLINK "mailto:cubs@decc.gsi.gov.uk" </w:instrText>
      </w:r>
      <w:r w:rsidR="00A51FC4">
        <w:fldChar w:fldCharType="separate"/>
      </w:r>
      <w:r w:rsidR="00421038" w:rsidRPr="001D6DC1">
        <w:rPr>
          <w:rStyle w:val="Hyperlink"/>
          <w:lang w:val="pt-BR"/>
        </w:rPr>
        <w:t>cubs@decc.gsi.gov.uk</w:t>
      </w:r>
      <w:r w:rsidR="00A51FC4">
        <w:rPr>
          <w:rStyle w:val="Hyperlink"/>
          <w:lang w:val="pt-BR"/>
        </w:rPr>
        <w:fldChar w:fldCharType="end"/>
      </w:r>
    </w:p>
    <w:p w14:paraId="6BB2AD59" w14:textId="77777777" w:rsidR="00BE6CF7" w:rsidRDefault="00BE6CF7">
      <w:pPr>
        <w:autoSpaceDE w:val="0"/>
        <w:autoSpaceDN w:val="0"/>
        <w:adjustRightInd w:val="0"/>
        <w:spacing w:before="60" w:after="60"/>
        <w:rPr>
          <w:sz w:val="20"/>
        </w:rPr>
      </w:pPr>
    </w:p>
    <w:p w14:paraId="4BE71192" w14:textId="77777777" w:rsidR="00232DA0" w:rsidRPr="00F548EE" w:rsidRDefault="00232DA0">
      <w:pPr>
        <w:autoSpaceDE w:val="0"/>
        <w:autoSpaceDN w:val="0"/>
        <w:adjustRightInd w:val="0"/>
        <w:spacing w:before="60" w:after="60"/>
        <w:rPr>
          <w:sz w:val="20"/>
        </w:rPr>
      </w:pPr>
      <w:r w:rsidRPr="00F548EE">
        <w:rPr>
          <w:sz w:val="20"/>
        </w:rPr>
        <w:t xml:space="preserve">For general enquiries about the </w:t>
      </w:r>
      <w:r w:rsidRPr="00F548EE">
        <w:rPr>
          <w:b/>
          <w:bCs/>
          <w:sz w:val="20"/>
        </w:rPr>
        <w:t>administration</w:t>
      </w:r>
      <w:r w:rsidRPr="00F548EE">
        <w:rPr>
          <w:sz w:val="20"/>
        </w:rPr>
        <w:t xml:space="preserve"> of a Licensing Round, contact Ricki </w:t>
      </w:r>
      <w:proofErr w:type="spellStart"/>
      <w:r w:rsidRPr="00F548EE">
        <w:rPr>
          <w:sz w:val="20"/>
        </w:rPr>
        <w:t>Kiff</w:t>
      </w:r>
      <w:proofErr w:type="spellEnd"/>
      <w:r w:rsidRPr="00F548EE">
        <w:rPr>
          <w:sz w:val="20"/>
        </w:rPr>
        <w:t>:</w:t>
      </w:r>
    </w:p>
    <w:p w14:paraId="4BE71193" w14:textId="77777777" w:rsidR="00232DA0" w:rsidRPr="00F548EE" w:rsidRDefault="00232DA0" w:rsidP="00EB6FA4">
      <w:pPr>
        <w:pStyle w:val="StyleBodyTextLeft097"/>
      </w:pPr>
      <w:proofErr w:type="spellStart"/>
      <w:r w:rsidRPr="00F548EE">
        <w:t>tel</w:t>
      </w:r>
      <w:proofErr w:type="spellEnd"/>
      <w:r w:rsidRPr="00F548EE">
        <w:t xml:space="preserve">: </w:t>
      </w:r>
      <w:r w:rsidRPr="00F548EE">
        <w:tab/>
      </w:r>
      <w:r w:rsidR="009F45BD" w:rsidRPr="00F548EE">
        <w:t>0300 06</w:t>
      </w:r>
      <w:r w:rsidR="00F23C01">
        <w:t>7</w:t>
      </w:r>
      <w:r w:rsidR="009F45BD" w:rsidRPr="00F548EE">
        <w:t xml:space="preserve"> </w:t>
      </w:r>
      <w:r w:rsidR="00D20241">
        <w:t>1637</w:t>
      </w:r>
      <w:r w:rsidR="009F45BD" w:rsidRPr="00F548EE">
        <w:t>;</w:t>
      </w:r>
    </w:p>
    <w:p w14:paraId="4BE71194" w14:textId="329A9EF8" w:rsidR="00232DA0" w:rsidRPr="00F548EE" w:rsidRDefault="00232DA0" w:rsidP="00EB6FA4">
      <w:pPr>
        <w:pStyle w:val="StyleBodyTextLeft097"/>
      </w:pPr>
      <w:r w:rsidRPr="00F548EE">
        <w:t>e-mail:</w:t>
      </w:r>
      <w:r w:rsidRPr="00F548EE">
        <w:tab/>
      </w:r>
      <w:hyperlink r:id="rId30" w:history="1">
        <w:r w:rsidR="00C34CA2" w:rsidRPr="00F010DD">
          <w:rPr>
            <w:rStyle w:val="Hyperlink"/>
          </w:rPr>
          <w:t>ricki.kiff@ogauthority.co.uk</w:t>
        </w:r>
      </w:hyperlink>
    </w:p>
    <w:p w14:paraId="4BE71195" w14:textId="77777777" w:rsidR="00232DA0" w:rsidRDefault="00232DA0">
      <w:pPr>
        <w:pStyle w:val="Heading2"/>
      </w:pPr>
      <w:bookmarkStart w:id="55" w:name="_Toc484787689"/>
      <w:r>
        <w:lastRenderedPageBreak/>
        <w:t>Index</w:t>
      </w:r>
      <w:bookmarkEnd w:id="55"/>
    </w:p>
    <w:p w14:paraId="0B537E23" w14:textId="77777777" w:rsidR="00302F25" w:rsidRDefault="00732144" w:rsidP="008146BF">
      <w:pPr>
        <w:rPr>
          <w:noProof/>
        </w:rPr>
        <w:sectPr w:rsidR="00302F25" w:rsidSect="00302F25">
          <w:footnotePr>
            <w:numRestart w:val="eachPage"/>
          </w:footnotePr>
          <w:type w:val="continuous"/>
          <w:pgSz w:w="11906" w:h="16838"/>
          <w:pgMar w:top="1440" w:right="1440" w:bottom="1440" w:left="1440" w:header="706" w:footer="706" w:gutter="0"/>
          <w:cols w:space="708"/>
          <w:docGrid w:linePitch="360"/>
        </w:sectPr>
      </w:pPr>
      <w:r>
        <w:fldChar w:fldCharType="begin"/>
      </w:r>
      <w:r w:rsidR="008146BF">
        <w:instrText xml:space="preserve"> INDEX \e "</w:instrText>
      </w:r>
      <w:r w:rsidR="008146BF">
        <w:tab/>
        <w:instrText xml:space="preserve">" \h "A" \c "2" \z "2057" </w:instrText>
      </w:r>
      <w:r>
        <w:fldChar w:fldCharType="separate"/>
      </w:r>
    </w:p>
    <w:p w14:paraId="1D1AB3FF"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A</w:t>
      </w:r>
    </w:p>
    <w:p w14:paraId="247808B8" w14:textId="77777777" w:rsidR="00302F25" w:rsidRDefault="00302F25">
      <w:pPr>
        <w:pStyle w:val="Index1"/>
        <w:tabs>
          <w:tab w:val="right" w:leader="dot" w:pos="4143"/>
        </w:tabs>
        <w:rPr>
          <w:noProof/>
        </w:rPr>
      </w:pPr>
      <w:r>
        <w:rPr>
          <w:noProof/>
        </w:rPr>
        <w:t>Acreage available</w:t>
      </w:r>
      <w:r>
        <w:rPr>
          <w:noProof/>
        </w:rPr>
        <w:tab/>
        <w:t>5</w:t>
      </w:r>
    </w:p>
    <w:p w14:paraId="2BF32E79" w14:textId="77777777" w:rsidR="00302F25" w:rsidRDefault="00302F25">
      <w:pPr>
        <w:pStyle w:val="Index1"/>
        <w:tabs>
          <w:tab w:val="right" w:leader="dot" w:pos="4143"/>
        </w:tabs>
        <w:rPr>
          <w:noProof/>
        </w:rPr>
      </w:pPr>
      <w:r w:rsidRPr="00F457E5">
        <w:rPr>
          <w:noProof/>
          <w:color w:val="000000" w:themeColor="text1"/>
        </w:rPr>
        <w:t>Acreage, maximum</w:t>
      </w:r>
      <w:r>
        <w:rPr>
          <w:noProof/>
        </w:rPr>
        <w:tab/>
        <w:t>6</w:t>
      </w:r>
    </w:p>
    <w:p w14:paraId="2B4A9134" w14:textId="77777777" w:rsidR="00302F25" w:rsidRDefault="00302F25">
      <w:pPr>
        <w:pStyle w:val="Index1"/>
        <w:tabs>
          <w:tab w:val="right" w:leader="dot" w:pos="4143"/>
        </w:tabs>
        <w:rPr>
          <w:noProof/>
        </w:rPr>
      </w:pPr>
      <w:r>
        <w:rPr>
          <w:noProof/>
        </w:rPr>
        <w:t>Applicant</w:t>
      </w:r>
      <w:r>
        <w:rPr>
          <w:noProof/>
        </w:rPr>
        <w:tab/>
        <w:t>4</w:t>
      </w:r>
    </w:p>
    <w:p w14:paraId="66B14909" w14:textId="77777777" w:rsidR="00302F25" w:rsidRDefault="00302F25">
      <w:pPr>
        <w:pStyle w:val="Index1"/>
        <w:tabs>
          <w:tab w:val="right" w:leader="dot" w:pos="4143"/>
        </w:tabs>
        <w:rPr>
          <w:noProof/>
        </w:rPr>
      </w:pPr>
      <w:r>
        <w:rPr>
          <w:noProof/>
        </w:rPr>
        <w:t>Application</w:t>
      </w:r>
    </w:p>
    <w:p w14:paraId="3A4BD39C" w14:textId="77777777" w:rsidR="00302F25" w:rsidRDefault="00302F25">
      <w:pPr>
        <w:pStyle w:val="Index2"/>
        <w:tabs>
          <w:tab w:val="right" w:leader="dot" w:pos="4143"/>
        </w:tabs>
        <w:rPr>
          <w:noProof/>
        </w:rPr>
      </w:pPr>
      <w:r>
        <w:rPr>
          <w:noProof/>
        </w:rPr>
        <w:t>fees</w:t>
      </w:r>
      <w:r>
        <w:rPr>
          <w:noProof/>
        </w:rPr>
        <w:tab/>
        <w:t>6</w:t>
      </w:r>
    </w:p>
    <w:p w14:paraId="0A01CC62" w14:textId="77777777" w:rsidR="00302F25" w:rsidRDefault="00302F25">
      <w:pPr>
        <w:pStyle w:val="Index2"/>
        <w:tabs>
          <w:tab w:val="right" w:leader="dot" w:pos="4143"/>
        </w:tabs>
        <w:rPr>
          <w:noProof/>
        </w:rPr>
      </w:pPr>
      <w:r>
        <w:rPr>
          <w:noProof/>
        </w:rPr>
        <w:t>limits to</w:t>
      </w:r>
      <w:r>
        <w:rPr>
          <w:noProof/>
        </w:rPr>
        <w:tab/>
        <w:t>4</w:t>
      </w:r>
    </w:p>
    <w:p w14:paraId="020A94BC"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B</w:t>
      </w:r>
    </w:p>
    <w:p w14:paraId="6AF8AE8F" w14:textId="77777777" w:rsidR="00302F25" w:rsidRDefault="00302F25">
      <w:pPr>
        <w:pStyle w:val="Index1"/>
        <w:tabs>
          <w:tab w:val="right" w:leader="dot" w:pos="4143"/>
        </w:tabs>
        <w:rPr>
          <w:noProof/>
        </w:rPr>
      </w:pPr>
      <w:r>
        <w:rPr>
          <w:noProof/>
        </w:rPr>
        <w:t>Boundary between landward and seaward</w:t>
      </w:r>
      <w:r>
        <w:rPr>
          <w:noProof/>
        </w:rPr>
        <w:tab/>
        <w:t>5</w:t>
      </w:r>
    </w:p>
    <w:p w14:paraId="614DA1FB"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C</w:t>
      </w:r>
    </w:p>
    <w:p w14:paraId="7A4BF884" w14:textId="77777777" w:rsidR="00302F25" w:rsidRDefault="00302F25">
      <w:pPr>
        <w:pStyle w:val="Index1"/>
        <w:tabs>
          <w:tab w:val="right" w:leader="dot" w:pos="4143"/>
        </w:tabs>
        <w:rPr>
          <w:noProof/>
        </w:rPr>
      </w:pPr>
      <w:r>
        <w:rPr>
          <w:noProof/>
        </w:rPr>
        <w:t>Capturing the Energy</w:t>
      </w:r>
      <w:r>
        <w:rPr>
          <w:noProof/>
        </w:rPr>
        <w:tab/>
        <w:t>11</w:t>
      </w:r>
    </w:p>
    <w:p w14:paraId="4F89D417" w14:textId="77777777" w:rsidR="00302F25" w:rsidRDefault="00302F25">
      <w:pPr>
        <w:pStyle w:val="Index1"/>
        <w:tabs>
          <w:tab w:val="right" w:leader="dot" w:pos="4143"/>
        </w:tabs>
        <w:rPr>
          <w:noProof/>
        </w:rPr>
      </w:pPr>
      <w:r>
        <w:rPr>
          <w:noProof/>
        </w:rPr>
        <w:t>Confidentiality</w:t>
      </w:r>
      <w:r>
        <w:rPr>
          <w:noProof/>
        </w:rPr>
        <w:tab/>
        <w:t>9</w:t>
      </w:r>
    </w:p>
    <w:p w14:paraId="759A6506" w14:textId="77777777" w:rsidR="00302F25" w:rsidRDefault="00302F25">
      <w:pPr>
        <w:pStyle w:val="Index1"/>
        <w:tabs>
          <w:tab w:val="right" w:leader="dot" w:pos="4143"/>
        </w:tabs>
        <w:rPr>
          <w:noProof/>
        </w:rPr>
      </w:pPr>
      <w:r>
        <w:rPr>
          <w:noProof/>
        </w:rPr>
        <w:t>Contacts</w:t>
      </w:r>
      <w:r>
        <w:rPr>
          <w:noProof/>
        </w:rPr>
        <w:tab/>
        <w:t>14</w:t>
      </w:r>
    </w:p>
    <w:p w14:paraId="3F227BE2"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D</w:t>
      </w:r>
    </w:p>
    <w:p w14:paraId="28F76BBD" w14:textId="77777777" w:rsidR="00302F25" w:rsidRDefault="00302F25">
      <w:pPr>
        <w:pStyle w:val="Index1"/>
        <w:tabs>
          <w:tab w:val="right" w:leader="dot" w:pos="4143"/>
        </w:tabs>
        <w:rPr>
          <w:noProof/>
        </w:rPr>
      </w:pPr>
      <w:r>
        <w:rPr>
          <w:noProof/>
        </w:rPr>
        <w:t>Data Protection Act 1998</w:t>
      </w:r>
      <w:r>
        <w:rPr>
          <w:noProof/>
        </w:rPr>
        <w:tab/>
        <w:t>9</w:t>
      </w:r>
    </w:p>
    <w:p w14:paraId="36ECF4F2"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I</w:t>
      </w:r>
    </w:p>
    <w:p w14:paraId="3B7DC619" w14:textId="77777777" w:rsidR="00302F25" w:rsidRDefault="00302F25">
      <w:pPr>
        <w:pStyle w:val="Index1"/>
        <w:tabs>
          <w:tab w:val="right" w:leader="dot" w:pos="4143"/>
        </w:tabs>
        <w:rPr>
          <w:noProof/>
        </w:rPr>
      </w:pPr>
      <w:r>
        <w:rPr>
          <w:noProof/>
        </w:rPr>
        <w:t>Innovate</w:t>
      </w:r>
      <w:r>
        <w:rPr>
          <w:noProof/>
        </w:rPr>
        <w:tab/>
        <w:t>3, 4, 6</w:t>
      </w:r>
    </w:p>
    <w:p w14:paraId="63259348"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J</w:t>
      </w:r>
    </w:p>
    <w:p w14:paraId="33902812" w14:textId="77777777" w:rsidR="00302F25" w:rsidRDefault="00302F25">
      <w:pPr>
        <w:pStyle w:val="Index1"/>
        <w:tabs>
          <w:tab w:val="right" w:leader="dot" w:pos="4143"/>
        </w:tabs>
        <w:rPr>
          <w:noProof/>
        </w:rPr>
      </w:pPr>
      <w:r>
        <w:rPr>
          <w:noProof/>
        </w:rPr>
        <w:t>Joint Operating Agreements</w:t>
      </w:r>
      <w:r>
        <w:rPr>
          <w:noProof/>
        </w:rPr>
        <w:tab/>
        <w:t>10</w:t>
      </w:r>
    </w:p>
    <w:p w14:paraId="3C5DF821" w14:textId="77777777" w:rsidR="00302F25" w:rsidRDefault="00302F25">
      <w:pPr>
        <w:pStyle w:val="Index1"/>
        <w:tabs>
          <w:tab w:val="right" w:leader="dot" w:pos="4143"/>
        </w:tabs>
        <w:rPr>
          <w:noProof/>
        </w:rPr>
      </w:pPr>
      <w:r>
        <w:rPr>
          <w:noProof/>
        </w:rPr>
        <w:t>Joint-and-several liability</w:t>
      </w:r>
      <w:r>
        <w:rPr>
          <w:noProof/>
        </w:rPr>
        <w:tab/>
        <w:t>3</w:t>
      </w:r>
    </w:p>
    <w:p w14:paraId="7C04EFAA"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L</w:t>
      </w:r>
    </w:p>
    <w:p w14:paraId="646B3941" w14:textId="77777777" w:rsidR="00302F25" w:rsidRDefault="00302F25">
      <w:pPr>
        <w:pStyle w:val="Index1"/>
        <w:tabs>
          <w:tab w:val="right" w:leader="dot" w:pos="4143"/>
        </w:tabs>
        <w:rPr>
          <w:noProof/>
        </w:rPr>
      </w:pPr>
      <w:r>
        <w:rPr>
          <w:noProof/>
        </w:rPr>
        <w:t>Landward Licences</w:t>
      </w:r>
      <w:r>
        <w:rPr>
          <w:noProof/>
        </w:rPr>
        <w:tab/>
        <w:t>3</w:t>
      </w:r>
    </w:p>
    <w:p w14:paraId="00804D0E" w14:textId="77777777" w:rsidR="00302F25" w:rsidRDefault="00302F25">
      <w:pPr>
        <w:pStyle w:val="Index1"/>
        <w:tabs>
          <w:tab w:val="right" w:leader="dot" w:pos="4143"/>
        </w:tabs>
        <w:rPr>
          <w:noProof/>
        </w:rPr>
      </w:pPr>
      <w:r>
        <w:rPr>
          <w:noProof/>
        </w:rPr>
        <w:t>Licence types</w:t>
      </w:r>
      <w:r>
        <w:rPr>
          <w:noProof/>
        </w:rPr>
        <w:tab/>
        <w:t>3</w:t>
      </w:r>
    </w:p>
    <w:p w14:paraId="5518CEC7"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M</w:t>
      </w:r>
    </w:p>
    <w:p w14:paraId="33C18714" w14:textId="77777777" w:rsidR="00302F25" w:rsidRDefault="00302F25">
      <w:pPr>
        <w:pStyle w:val="Index1"/>
        <w:tabs>
          <w:tab w:val="right" w:leader="dot" w:pos="4143"/>
        </w:tabs>
        <w:rPr>
          <w:noProof/>
        </w:rPr>
      </w:pPr>
      <w:r>
        <w:rPr>
          <w:noProof/>
        </w:rPr>
        <w:t>Marks Scheme</w:t>
      </w:r>
      <w:r>
        <w:rPr>
          <w:noProof/>
        </w:rPr>
        <w:tab/>
        <w:t>7</w:t>
      </w:r>
    </w:p>
    <w:p w14:paraId="2267E6F4" w14:textId="77777777" w:rsidR="00302F25" w:rsidRDefault="00302F25">
      <w:pPr>
        <w:pStyle w:val="Index1"/>
        <w:tabs>
          <w:tab w:val="right" w:leader="dot" w:pos="4143"/>
        </w:tabs>
        <w:rPr>
          <w:noProof/>
        </w:rPr>
      </w:pPr>
      <w:r>
        <w:rPr>
          <w:noProof/>
        </w:rPr>
        <w:t>Marriages</w:t>
      </w:r>
      <w:r>
        <w:rPr>
          <w:noProof/>
        </w:rPr>
        <w:tab/>
        <w:t>8</w:t>
      </w:r>
    </w:p>
    <w:p w14:paraId="0713EC92" w14:textId="77777777" w:rsidR="00302F25" w:rsidRDefault="00302F25">
      <w:pPr>
        <w:pStyle w:val="Index1"/>
        <w:tabs>
          <w:tab w:val="right" w:leader="dot" w:pos="4143"/>
        </w:tabs>
        <w:rPr>
          <w:noProof/>
        </w:rPr>
      </w:pPr>
      <w:r>
        <w:rPr>
          <w:noProof/>
        </w:rPr>
        <w:t>Multiblock Licences</w:t>
      </w:r>
      <w:r>
        <w:rPr>
          <w:noProof/>
        </w:rPr>
        <w:tab/>
        <w:t>10</w:t>
      </w:r>
    </w:p>
    <w:p w14:paraId="22674CEC"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N</w:t>
      </w:r>
    </w:p>
    <w:p w14:paraId="6FFEAFD4" w14:textId="77777777" w:rsidR="00302F25" w:rsidRDefault="00302F25">
      <w:pPr>
        <w:pStyle w:val="Index1"/>
        <w:tabs>
          <w:tab w:val="right" w:leader="dot" w:pos="4143"/>
        </w:tabs>
        <w:rPr>
          <w:noProof/>
        </w:rPr>
      </w:pPr>
      <w:r>
        <w:rPr>
          <w:noProof/>
        </w:rPr>
        <w:t>Northern Ireland</w:t>
      </w:r>
      <w:r>
        <w:rPr>
          <w:noProof/>
        </w:rPr>
        <w:tab/>
        <w:t>2</w:t>
      </w:r>
    </w:p>
    <w:p w14:paraId="18AC5DC4"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O</w:t>
      </w:r>
    </w:p>
    <w:p w14:paraId="2795E486" w14:textId="77777777" w:rsidR="00302F25" w:rsidRDefault="00302F25">
      <w:pPr>
        <w:pStyle w:val="Index1"/>
        <w:tabs>
          <w:tab w:val="right" w:leader="dot" w:pos="4143"/>
        </w:tabs>
        <w:rPr>
          <w:noProof/>
        </w:rPr>
      </w:pPr>
      <w:r>
        <w:rPr>
          <w:noProof/>
        </w:rPr>
        <w:t>Official Journal of the European Union</w:t>
      </w:r>
      <w:r>
        <w:rPr>
          <w:noProof/>
        </w:rPr>
        <w:tab/>
        <w:t>2</w:t>
      </w:r>
    </w:p>
    <w:p w14:paraId="3C6CA49F" w14:textId="77777777" w:rsidR="00302F25" w:rsidRDefault="00302F25">
      <w:pPr>
        <w:pStyle w:val="Index1"/>
        <w:tabs>
          <w:tab w:val="right" w:leader="dot" w:pos="4143"/>
        </w:tabs>
        <w:rPr>
          <w:noProof/>
        </w:rPr>
      </w:pPr>
      <w:r>
        <w:rPr>
          <w:noProof/>
        </w:rPr>
        <w:t>Out-of-round applications</w:t>
      </w:r>
      <w:r>
        <w:rPr>
          <w:noProof/>
        </w:rPr>
        <w:tab/>
        <w:t>9</w:t>
      </w:r>
    </w:p>
    <w:p w14:paraId="2EF44D97"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P</w:t>
      </w:r>
    </w:p>
    <w:p w14:paraId="6D516DEC" w14:textId="77777777" w:rsidR="00302F25" w:rsidRDefault="00302F25">
      <w:pPr>
        <w:pStyle w:val="Index1"/>
        <w:tabs>
          <w:tab w:val="right" w:leader="dot" w:pos="4143"/>
        </w:tabs>
        <w:rPr>
          <w:noProof/>
        </w:rPr>
      </w:pPr>
      <w:r>
        <w:rPr>
          <w:noProof/>
        </w:rPr>
        <w:t>PEDLs</w:t>
      </w:r>
      <w:r>
        <w:rPr>
          <w:noProof/>
        </w:rPr>
        <w:tab/>
        <w:t>3</w:t>
      </w:r>
    </w:p>
    <w:p w14:paraId="67F2EF4B" w14:textId="77777777" w:rsidR="00302F25" w:rsidRDefault="00302F25">
      <w:pPr>
        <w:pStyle w:val="Index1"/>
        <w:tabs>
          <w:tab w:val="right" w:leader="dot" w:pos="4143"/>
        </w:tabs>
        <w:rPr>
          <w:noProof/>
        </w:rPr>
      </w:pPr>
      <w:r>
        <w:rPr>
          <w:noProof/>
        </w:rPr>
        <w:t>Petroleum Act 1998</w:t>
      </w:r>
      <w:r>
        <w:rPr>
          <w:noProof/>
        </w:rPr>
        <w:tab/>
        <w:t>2, 7</w:t>
      </w:r>
    </w:p>
    <w:p w14:paraId="6DD2F41F" w14:textId="77777777" w:rsidR="00302F25" w:rsidRDefault="00302F25">
      <w:pPr>
        <w:pStyle w:val="Index1"/>
        <w:tabs>
          <w:tab w:val="right" w:leader="dot" w:pos="4143"/>
        </w:tabs>
        <w:rPr>
          <w:noProof/>
        </w:rPr>
      </w:pPr>
      <w:r>
        <w:rPr>
          <w:noProof/>
        </w:rPr>
        <w:t>PILOT</w:t>
      </w:r>
      <w:r>
        <w:rPr>
          <w:noProof/>
        </w:rPr>
        <w:tab/>
        <w:t>10</w:t>
      </w:r>
    </w:p>
    <w:p w14:paraId="50EC4E55" w14:textId="77777777" w:rsidR="00302F25" w:rsidRDefault="00302F25">
      <w:pPr>
        <w:pStyle w:val="Index1"/>
        <w:tabs>
          <w:tab w:val="right" w:leader="dot" w:pos="4143"/>
        </w:tabs>
        <w:rPr>
          <w:noProof/>
        </w:rPr>
      </w:pPr>
      <w:r>
        <w:rPr>
          <w:noProof/>
        </w:rPr>
        <w:t>Pre-emption</w:t>
      </w:r>
      <w:r>
        <w:rPr>
          <w:noProof/>
        </w:rPr>
        <w:tab/>
        <w:t>10</w:t>
      </w:r>
    </w:p>
    <w:p w14:paraId="14860380" w14:textId="77777777" w:rsidR="00302F25" w:rsidRDefault="00302F25">
      <w:pPr>
        <w:pStyle w:val="Index1"/>
        <w:tabs>
          <w:tab w:val="right" w:leader="dot" w:pos="4143"/>
        </w:tabs>
        <w:rPr>
          <w:noProof/>
        </w:rPr>
      </w:pPr>
      <w:r>
        <w:rPr>
          <w:noProof/>
        </w:rPr>
        <w:t>Progressing Partnerships Working Group</w:t>
      </w:r>
      <w:r>
        <w:rPr>
          <w:noProof/>
        </w:rPr>
        <w:tab/>
        <w:t>10</w:t>
      </w:r>
    </w:p>
    <w:p w14:paraId="7440F933"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R</w:t>
      </w:r>
    </w:p>
    <w:p w14:paraId="7BA5001A" w14:textId="77777777" w:rsidR="00302F25" w:rsidRDefault="00302F25">
      <w:pPr>
        <w:pStyle w:val="Index1"/>
        <w:tabs>
          <w:tab w:val="right" w:leader="dot" w:pos="4143"/>
        </w:tabs>
        <w:rPr>
          <w:noProof/>
        </w:rPr>
      </w:pPr>
      <w:r>
        <w:rPr>
          <w:noProof/>
        </w:rPr>
        <w:t>Rentals</w:t>
      </w:r>
      <w:r>
        <w:rPr>
          <w:noProof/>
        </w:rPr>
        <w:tab/>
        <w:t>12</w:t>
      </w:r>
    </w:p>
    <w:p w14:paraId="0401D8EA"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T</w:t>
      </w:r>
    </w:p>
    <w:p w14:paraId="55EB3909" w14:textId="77777777" w:rsidR="00302F25" w:rsidRDefault="00302F25">
      <w:pPr>
        <w:pStyle w:val="Index1"/>
        <w:tabs>
          <w:tab w:val="right" w:leader="dot" w:pos="4143"/>
        </w:tabs>
        <w:rPr>
          <w:noProof/>
        </w:rPr>
      </w:pPr>
      <w:r>
        <w:rPr>
          <w:noProof/>
        </w:rPr>
        <w:t>The OGA's discretion</w:t>
      </w:r>
      <w:r>
        <w:rPr>
          <w:noProof/>
        </w:rPr>
        <w:tab/>
        <w:t>3</w:t>
      </w:r>
    </w:p>
    <w:p w14:paraId="3BF7F8AB" w14:textId="77777777" w:rsidR="00302F25" w:rsidRDefault="00302F25">
      <w:pPr>
        <w:pStyle w:val="Index1"/>
        <w:tabs>
          <w:tab w:val="right" w:leader="dot" w:pos="4143"/>
        </w:tabs>
        <w:rPr>
          <w:noProof/>
        </w:rPr>
      </w:pPr>
      <w:r>
        <w:rPr>
          <w:noProof/>
        </w:rPr>
        <w:t>THE OGA's discretion</w:t>
      </w:r>
      <w:r>
        <w:rPr>
          <w:noProof/>
        </w:rPr>
        <w:tab/>
        <w:t>7</w:t>
      </w:r>
    </w:p>
    <w:p w14:paraId="330B8F44" w14:textId="77777777" w:rsidR="00302F25" w:rsidRDefault="00302F25">
      <w:pPr>
        <w:pStyle w:val="Index1"/>
        <w:tabs>
          <w:tab w:val="right" w:leader="dot" w:pos="4143"/>
        </w:tabs>
        <w:rPr>
          <w:noProof/>
        </w:rPr>
      </w:pPr>
      <w:r>
        <w:rPr>
          <w:noProof/>
        </w:rPr>
        <w:t>Transparency</w:t>
      </w:r>
      <w:r>
        <w:rPr>
          <w:noProof/>
        </w:rPr>
        <w:tab/>
        <w:t>9</w:t>
      </w:r>
    </w:p>
    <w:p w14:paraId="5D83E0B1" w14:textId="77777777" w:rsidR="00302F25" w:rsidRDefault="00302F25">
      <w:pPr>
        <w:pStyle w:val="IndexHeading"/>
        <w:keepNext/>
        <w:tabs>
          <w:tab w:val="right" w:leader="dot" w:pos="4143"/>
        </w:tabs>
        <w:rPr>
          <w:rFonts w:asciiTheme="minorHAnsi" w:eastAsiaTheme="minorEastAsia" w:hAnsiTheme="minorHAnsi" w:cstheme="minorBidi"/>
          <w:b w:val="0"/>
          <w:bCs w:val="0"/>
          <w:noProof/>
        </w:rPr>
      </w:pPr>
      <w:r>
        <w:rPr>
          <w:noProof/>
        </w:rPr>
        <w:t>W</w:t>
      </w:r>
    </w:p>
    <w:p w14:paraId="274FE0F6" w14:textId="77777777" w:rsidR="00302F25" w:rsidRDefault="00302F25">
      <w:pPr>
        <w:pStyle w:val="Index1"/>
        <w:tabs>
          <w:tab w:val="right" w:leader="dot" w:pos="4143"/>
        </w:tabs>
        <w:rPr>
          <w:noProof/>
        </w:rPr>
      </w:pPr>
      <w:r>
        <w:rPr>
          <w:noProof/>
        </w:rPr>
        <w:t>Work Programmes</w:t>
      </w:r>
      <w:r>
        <w:rPr>
          <w:noProof/>
        </w:rPr>
        <w:tab/>
        <w:t>6</w:t>
      </w:r>
    </w:p>
    <w:p w14:paraId="6E09DC40" w14:textId="77777777" w:rsidR="00302F25" w:rsidRDefault="00302F25" w:rsidP="008146BF">
      <w:pPr>
        <w:rPr>
          <w:noProof/>
        </w:rPr>
        <w:sectPr w:rsidR="00302F25" w:rsidSect="00302F25">
          <w:footnotePr>
            <w:numRestart w:val="eachPage"/>
          </w:footnotePr>
          <w:type w:val="continuous"/>
          <w:pgSz w:w="11906" w:h="16838"/>
          <w:pgMar w:top="1440" w:right="1440" w:bottom="1440" w:left="1440" w:header="706" w:footer="706" w:gutter="0"/>
          <w:cols w:num="2" w:space="720"/>
          <w:docGrid w:linePitch="360"/>
        </w:sectPr>
      </w:pPr>
    </w:p>
    <w:p w14:paraId="4BE711C6" w14:textId="77777777" w:rsidR="00746540" w:rsidRDefault="00732144" w:rsidP="008146BF">
      <w:r>
        <w:fldChar w:fldCharType="end"/>
      </w:r>
    </w:p>
    <w:p w14:paraId="4BE711C7" w14:textId="0380E53F" w:rsidR="00746540" w:rsidRDefault="00746540">
      <w:pPr>
        <w:spacing w:before="0" w:after="0"/>
      </w:pPr>
    </w:p>
    <w:sectPr w:rsidR="00746540" w:rsidSect="00302F25">
      <w:footnotePr>
        <w:numRestart w:val="eachPage"/>
      </w:footnotePr>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11F4" w14:textId="77777777" w:rsidR="008371BF" w:rsidRDefault="008371BF">
      <w:r>
        <w:separator/>
      </w:r>
    </w:p>
  </w:endnote>
  <w:endnote w:type="continuationSeparator" w:id="0">
    <w:p w14:paraId="4BE711F5" w14:textId="77777777" w:rsidR="008371BF" w:rsidRDefault="0083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11F7" w14:textId="77C4346B" w:rsidR="008371BF" w:rsidRDefault="008371BF">
    <w:pPr>
      <w:pStyle w:val="Footer"/>
      <w:tabs>
        <w:tab w:val="clear" w:pos="4819"/>
        <w:tab w:val="center" w:pos="4343"/>
      </w:tabs>
    </w:pPr>
    <w:r>
      <w:t>Guidance note (general)</w:t>
    </w:r>
    <w:r>
      <w:tab/>
      <w:t>Applications for production licences – general guidance (2014)</w:t>
    </w:r>
    <w:r>
      <w:tab/>
      <w:t xml:space="preserve"> Page </w:t>
    </w:r>
    <w:r>
      <w:fldChar w:fldCharType="begin"/>
    </w:r>
    <w:r>
      <w:instrText xml:space="preserve"> PAGE  \* MERGEFORMAT </w:instrText>
    </w:r>
    <w:r>
      <w:fldChar w:fldCharType="separate"/>
    </w:r>
    <w:r w:rsidR="00A51FC4">
      <w:rPr>
        <w:noProof/>
      </w:rPr>
      <w:t>12</w:t>
    </w:r>
    <w:r>
      <w:rPr>
        <w:noProof/>
      </w:rPr>
      <w:fldChar w:fldCharType="end"/>
    </w:r>
    <w:r>
      <w:t xml:space="preserve"> of </w:t>
    </w:r>
    <w:r w:rsidR="00A51FC4">
      <w:fldChar w:fldCharType="begin"/>
    </w:r>
    <w:r w:rsidR="00A51FC4">
      <w:instrText xml:space="preserve"> NUMPAGES  \* MERGEFORMAT </w:instrText>
    </w:r>
    <w:r w:rsidR="00A51FC4">
      <w:fldChar w:fldCharType="separate"/>
    </w:r>
    <w:r w:rsidR="00A51FC4">
      <w:rPr>
        <w:noProof/>
      </w:rPr>
      <w:t>15</w:t>
    </w:r>
    <w:r w:rsidR="00A51F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11F9" w14:textId="1AB9BBE5" w:rsidR="008371BF" w:rsidRDefault="008371BF">
    <w:pPr>
      <w:pStyle w:val="Footer"/>
      <w:tabs>
        <w:tab w:val="clear" w:pos="4819"/>
        <w:tab w:val="center" w:pos="4343"/>
      </w:tabs>
    </w:pPr>
    <w:r>
      <w:t>Guidance Note</w:t>
    </w:r>
    <w:r>
      <w:tab/>
      <w:t>Applications for production licences</w:t>
    </w:r>
    <w:r>
      <w:tab/>
      <w:t xml:space="preserve"> Page </w:t>
    </w:r>
    <w:r>
      <w:fldChar w:fldCharType="begin"/>
    </w:r>
    <w:r>
      <w:instrText xml:space="preserve"> PAGE  \* MERGEFORMAT </w:instrText>
    </w:r>
    <w:r>
      <w:fldChar w:fldCharType="separate"/>
    </w:r>
    <w:r w:rsidR="00A51FC4">
      <w:rPr>
        <w:noProof/>
      </w:rPr>
      <w:t>14</w:t>
    </w:r>
    <w:r>
      <w:rPr>
        <w:noProof/>
      </w:rPr>
      <w:fldChar w:fldCharType="end"/>
    </w:r>
    <w:r>
      <w:t xml:space="preserve"> of </w:t>
    </w:r>
    <w:r w:rsidR="00A51FC4">
      <w:fldChar w:fldCharType="begin"/>
    </w:r>
    <w:r w:rsidR="00A51FC4">
      <w:instrText xml:space="preserve"> NUMPAGES  \* MERGEFORMAT </w:instrText>
    </w:r>
    <w:r w:rsidR="00A51FC4">
      <w:fldChar w:fldCharType="separate"/>
    </w:r>
    <w:r w:rsidR="00A51FC4">
      <w:rPr>
        <w:noProof/>
      </w:rPr>
      <w:t>15</w:t>
    </w:r>
    <w:r w:rsidR="00A51F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11F2" w14:textId="77777777" w:rsidR="008371BF" w:rsidRDefault="008371BF">
      <w:pPr>
        <w:pStyle w:val="ListNumber"/>
        <w:spacing w:before="0" w:after="0"/>
      </w:pPr>
      <w:r>
        <w:separator/>
      </w:r>
    </w:p>
  </w:footnote>
  <w:footnote w:type="continuationSeparator" w:id="0">
    <w:p w14:paraId="4BE711F3" w14:textId="77777777" w:rsidR="008371BF" w:rsidRDefault="008371BF">
      <w:r>
        <w:continuationSeparator/>
      </w:r>
    </w:p>
  </w:footnote>
  <w:footnote w:id="1">
    <w:p w14:paraId="4BE711FA" w14:textId="5E64B5E4" w:rsidR="008371BF" w:rsidRDefault="008371BF">
      <w:pPr>
        <w:pStyle w:val="FootnoteText"/>
      </w:pPr>
      <w:r>
        <w:rPr>
          <w:rStyle w:val="FootnoteReference"/>
        </w:rPr>
        <w:footnoteRef/>
      </w:r>
      <w:r>
        <w:t xml:space="preserve"> See </w:t>
      </w:r>
      <w:hyperlink r:id="rId1" w:history="1">
        <w:r w:rsidRPr="004C148A">
          <w:rPr>
            <w:rStyle w:val="Hyperlink"/>
          </w:rPr>
          <w:t>http://www.legislation.gov.uk/ukpga/1998/17/contents</w:t>
        </w:r>
      </w:hyperlink>
      <w:r>
        <w:t xml:space="preserve">. </w:t>
      </w:r>
    </w:p>
  </w:footnote>
  <w:footnote w:id="2">
    <w:p w14:paraId="4BE711FB" w14:textId="0B49A500" w:rsidR="008371BF" w:rsidRDefault="008371BF">
      <w:pPr>
        <w:pStyle w:val="FootnoteText"/>
      </w:pPr>
      <w:r>
        <w:rPr>
          <w:rStyle w:val="FootnoteReference"/>
        </w:rPr>
        <w:footnoteRef/>
      </w:r>
      <w:r>
        <w:t xml:space="preserve"> See </w:t>
      </w:r>
      <w:hyperlink r:id="rId2" w:history="1">
        <w:r w:rsidRPr="00ED6CB6">
          <w:rPr>
            <w:rStyle w:val="Hyperlink"/>
          </w:rPr>
          <w:t>https://www.ogauthority.co.uk/licensing-consents/licensing-rounds/</w:t>
        </w:r>
      </w:hyperlink>
      <w:r>
        <w:t xml:space="preserve">.  </w:t>
      </w:r>
    </w:p>
  </w:footnote>
  <w:footnote w:id="3">
    <w:p w14:paraId="4BE711FC" w14:textId="4257A4DE" w:rsidR="008371BF" w:rsidRPr="00496007" w:rsidRDefault="008371BF" w:rsidP="00496007">
      <w:pPr>
        <w:pStyle w:val="CommentText"/>
        <w:spacing w:before="0" w:after="0"/>
        <w:rPr>
          <w:sz w:val="18"/>
          <w:szCs w:val="18"/>
        </w:rPr>
      </w:pPr>
      <w:r w:rsidRPr="008A56C4">
        <w:rPr>
          <w:rStyle w:val="FootnoteReference"/>
          <w:highlight w:val="yellow"/>
        </w:rPr>
        <w:footnoteRef/>
      </w:r>
      <w:r w:rsidRPr="008A56C4">
        <w:rPr>
          <w:highlight w:val="yellow"/>
        </w:rPr>
        <w:t xml:space="preserve"> </w:t>
      </w:r>
      <w:r w:rsidRPr="008A56C4">
        <w:rPr>
          <w:sz w:val="18"/>
          <w:szCs w:val="18"/>
          <w:highlight w:val="yellow"/>
        </w:rPr>
        <w:t xml:space="preserve">See link: “Guidance about use of LARRY” associated with guidance about a </w:t>
      </w:r>
      <w:proofErr w:type="gramStart"/>
      <w:r w:rsidRPr="008A56C4">
        <w:rPr>
          <w:sz w:val="18"/>
          <w:szCs w:val="18"/>
          <w:highlight w:val="yellow"/>
        </w:rPr>
        <w:t>particular Round</w:t>
      </w:r>
      <w:proofErr w:type="gramEnd"/>
      <w:r w:rsidRPr="008A56C4">
        <w:rPr>
          <w:sz w:val="18"/>
          <w:szCs w:val="18"/>
          <w:highlight w:val="yellow"/>
        </w:rPr>
        <w:t xml:space="preserve"> at </w:t>
      </w:r>
      <w:hyperlink r:id="rId3" w:history="1">
        <w:r w:rsidRPr="008A56C4">
          <w:rPr>
            <w:rStyle w:val="Hyperlink"/>
            <w:sz w:val="18"/>
            <w:szCs w:val="18"/>
            <w:highlight w:val="yellow"/>
          </w:rPr>
          <w:t>https://www.ogauthority.co.uk/licensing-consents/licensing-rounds/</w:t>
        </w:r>
      </w:hyperlink>
      <w:r w:rsidRPr="008A56C4">
        <w:rPr>
          <w:sz w:val="18"/>
          <w:szCs w:val="18"/>
          <w:highlight w:val="yellow"/>
        </w:rPr>
        <w:t>.</w:t>
      </w:r>
      <w:r>
        <w:rPr>
          <w:sz w:val="18"/>
          <w:szCs w:val="18"/>
        </w:rPr>
        <w:t xml:space="preserve"> </w:t>
      </w:r>
    </w:p>
  </w:footnote>
  <w:footnote w:id="4">
    <w:p w14:paraId="4BE711FD" w14:textId="6B24A211" w:rsidR="008371BF" w:rsidRDefault="008371BF">
      <w:pPr>
        <w:pStyle w:val="FootnoteText"/>
      </w:pPr>
      <w:r>
        <w:rPr>
          <w:rStyle w:val="FootnoteReference"/>
        </w:rPr>
        <w:footnoteRef/>
      </w:r>
      <w:r>
        <w:t xml:space="preserve"> See </w:t>
      </w:r>
      <w:hyperlink r:id="rId4" w:history="1">
        <w:r w:rsidRPr="004C148A">
          <w:rPr>
            <w:rStyle w:val="Hyperlink"/>
          </w:rPr>
          <w:t>http://www.legislation.gov.uk/uksi/1995/1434/contents/made</w:t>
        </w:r>
      </w:hyperlink>
      <w:r>
        <w:t xml:space="preserve">. </w:t>
      </w:r>
    </w:p>
  </w:footnote>
  <w:footnote w:id="5">
    <w:p w14:paraId="4BE711FE" w14:textId="2A322C8C" w:rsidR="008371BF" w:rsidRDefault="008371BF">
      <w:pPr>
        <w:pStyle w:val="FootnoteText"/>
      </w:pPr>
      <w:r>
        <w:rPr>
          <w:rStyle w:val="FootnoteReference"/>
        </w:rPr>
        <w:footnoteRef/>
      </w:r>
      <w:r>
        <w:t xml:space="preserve"> See </w:t>
      </w:r>
      <w:hyperlink r:id="rId5" w:history="1">
        <w:r w:rsidRPr="004C148A">
          <w:rPr>
            <w:rStyle w:val="Hyperlink"/>
          </w:rPr>
          <w:t>http://www.legislation.gov.uk/uksi/2015/766/contents/made</w:t>
        </w:r>
      </w:hyperlink>
      <w:r>
        <w:t xml:space="preserve">. </w:t>
      </w:r>
    </w:p>
  </w:footnote>
  <w:footnote w:id="6">
    <w:p w14:paraId="4BE711FF" w14:textId="6E76921A" w:rsidR="008371BF" w:rsidRDefault="008371BF">
      <w:pPr>
        <w:pStyle w:val="FootnoteText"/>
      </w:pPr>
      <w:r>
        <w:rPr>
          <w:rStyle w:val="FootnoteReference"/>
        </w:rPr>
        <w:footnoteRef/>
      </w:r>
      <w:r>
        <w:t xml:space="preserve"> See </w:t>
      </w:r>
      <w:hyperlink r:id="rId6" w:history="1">
        <w:r w:rsidRPr="004C148A">
          <w:rPr>
            <w:rStyle w:val="Hyperlink"/>
          </w:rPr>
          <w:t>http://www.legislation.gov.uk/uksi/2015/385/contents/made</w:t>
        </w:r>
      </w:hyperlink>
      <w:r>
        <w:t xml:space="preserve">. </w:t>
      </w:r>
    </w:p>
  </w:footnote>
  <w:footnote w:id="7">
    <w:p w14:paraId="4BE71200" w14:textId="5AE1C0EB" w:rsidR="008371BF" w:rsidRDefault="008371BF">
      <w:pPr>
        <w:pStyle w:val="FootnoteText"/>
      </w:pPr>
      <w:r w:rsidRPr="00FC0D1F">
        <w:rPr>
          <w:rStyle w:val="FootnoteReference"/>
        </w:rPr>
        <w:footnoteRef/>
      </w:r>
      <w:r w:rsidRPr="00FC0D1F">
        <w:t xml:space="preserve"> See </w:t>
      </w:r>
      <w:hyperlink r:id="rId7" w:history="1">
        <w:r w:rsidRPr="004C148A">
          <w:rPr>
            <w:rStyle w:val="Hyperlink"/>
          </w:rPr>
          <w:t>http://www.hse.gov.uk/osdr/</w:t>
        </w:r>
      </w:hyperlink>
      <w:r>
        <w:t>.</w:t>
      </w:r>
    </w:p>
  </w:footnote>
  <w:footnote w:id="8">
    <w:p w14:paraId="4BE71201" w14:textId="541DBCA5" w:rsidR="008371BF" w:rsidRDefault="008371BF" w:rsidP="002342D2">
      <w:pPr>
        <w:pStyle w:val="FootnoteText"/>
      </w:pPr>
      <w:r>
        <w:rPr>
          <w:rStyle w:val="FootnoteReference"/>
        </w:rPr>
        <w:footnoteRef/>
      </w:r>
      <w:r>
        <w:t xml:space="preserve"> See </w:t>
      </w:r>
      <w:hyperlink r:id="rId8" w:history="1">
        <w:r w:rsidRPr="00ED6CB6">
          <w:rPr>
            <w:rStyle w:val="Hyperlink"/>
          </w:rPr>
          <w:t>http://www.hse.gov.uk/osdr/guidance/index.htm</w:t>
        </w:r>
      </w:hyperlink>
      <w:r>
        <w:t xml:space="preserve">.  </w:t>
      </w:r>
    </w:p>
  </w:footnote>
  <w:footnote w:id="9">
    <w:p w14:paraId="4BE71202" w14:textId="77777777" w:rsidR="008371BF" w:rsidRDefault="008371BF" w:rsidP="002342D2">
      <w:pPr>
        <w:pStyle w:val="FootnoteText"/>
      </w:pPr>
      <w:r w:rsidRPr="008A56C4">
        <w:rPr>
          <w:rStyle w:val="FootnoteReference"/>
          <w:highlight w:val="yellow"/>
        </w:rPr>
        <w:footnoteRef/>
      </w:r>
      <w:r w:rsidRPr="008A56C4">
        <w:rPr>
          <w:highlight w:val="yellow"/>
        </w:rPr>
        <w:t xml:space="preserve"> See link: </w:t>
      </w:r>
      <w:r w:rsidRPr="008A56C4">
        <w:rPr>
          <w:szCs w:val="18"/>
          <w:highlight w:val="yellow"/>
        </w:rPr>
        <w:t>“Guidance about the Technical aspects of any application” on “</w:t>
      </w:r>
      <w:hyperlink r:id="rId9" w:anchor="th-round---how-to-apply" w:history="1">
        <w:r w:rsidRPr="008A56C4">
          <w:rPr>
            <w:rStyle w:val="Hyperlink"/>
            <w:szCs w:val="18"/>
            <w:highlight w:val="yellow"/>
            <w:lang w:val="en"/>
          </w:rPr>
          <w:t>Oil and gas: licensing rounds</w:t>
        </w:r>
      </w:hyperlink>
      <w:r w:rsidRPr="008A56C4">
        <w:rPr>
          <w:szCs w:val="18"/>
          <w:highlight w:val="yellow"/>
        </w:rPr>
        <w:t>”.</w:t>
      </w:r>
    </w:p>
  </w:footnote>
  <w:footnote w:id="10">
    <w:p w14:paraId="4BE71203" w14:textId="0CD3A314" w:rsidR="008371BF" w:rsidRDefault="008371BF">
      <w:pPr>
        <w:pStyle w:val="FootnoteText"/>
      </w:pPr>
      <w:r>
        <w:rPr>
          <w:rStyle w:val="FootnoteReference"/>
        </w:rPr>
        <w:footnoteRef/>
      </w:r>
      <w:r>
        <w:t xml:space="preserve"> See </w:t>
      </w:r>
      <w:hyperlink r:id="rId10" w:history="1">
        <w:r w:rsidRPr="004C148A">
          <w:rPr>
            <w:rStyle w:val="Hyperlink"/>
          </w:rPr>
          <w:t>http://www.legislation.gov.uk/uksi/2014/1686/contents/made</w:t>
        </w:r>
      </w:hyperlink>
      <w:r>
        <w:t xml:space="preserve">. </w:t>
      </w:r>
    </w:p>
  </w:footnote>
  <w:footnote w:id="11">
    <w:p w14:paraId="4BE71204" w14:textId="21BF4775" w:rsidR="008371BF" w:rsidRDefault="008371BF">
      <w:pPr>
        <w:pStyle w:val="FootnoteText"/>
      </w:pPr>
      <w:r>
        <w:rPr>
          <w:rStyle w:val="FootnoteReference"/>
        </w:rPr>
        <w:footnoteRef/>
      </w:r>
      <w:r>
        <w:t xml:space="preserve"> See </w:t>
      </w:r>
      <w:hyperlink r:id="rId11" w:history="1">
        <w:r w:rsidRPr="004C148A">
          <w:rPr>
            <w:rStyle w:val="Hyperlink"/>
          </w:rPr>
          <w:t>http://www.legislation.gov.uk/uksi/2008/225/contents/made</w:t>
        </w:r>
      </w:hyperlink>
      <w:r>
        <w:t xml:space="preserve">. </w:t>
      </w:r>
    </w:p>
  </w:footnote>
  <w:footnote w:id="12">
    <w:p w14:paraId="4BE71205" w14:textId="77777777" w:rsidR="008371BF" w:rsidRDefault="008371BF" w:rsidP="002E4EB7">
      <w:pPr>
        <w:pStyle w:val="FootnoteText"/>
      </w:pPr>
      <w:r>
        <w:rPr>
          <w:rStyle w:val="FootnoteReference"/>
        </w:rPr>
        <w:footnoteRef/>
      </w:r>
      <w:r>
        <w:t xml:space="preserve"> See </w:t>
      </w:r>
      <w:hyperlink r:id="rId12" w:history="1">
        <w:r w:rsidRPr="004C148A">
          <w:rPr>
            <w:rStyle w:val="Hyperlink"/>
          </w:rPr>
          <w:t>https://www.ogauthority.co.uk/licensing-consents/offshore-licences/</w:t>
        </w:r>
      </w:hyperlink>
      <w:r>
        <w:t xml:space="preserve">. </w:t>
      </w:r>
    </w:p>
  </w:footnote>
  <w:footnote w:id="13">
    <w:p w14:paraId="4BE71206" w14:textId="77777777" w:rsidR="008371BF" w:rsidRPr="00231B12" w:rsidRDefault="008371BF" w:rsidP="001B272F">
      <w:pPr>
        <w:pStyle w:val="FootnoteText"/>
        <w:rPr>
          <w:highlight w:val="yellow"/>
        </w:rPr>
      </w:pPr>
      <w:r w:rsidRPr="00231B12">
        <w:rPr>
          <w:rStyle w:val="FootnoteReference"/>
          <w:highlight w:val="yellow"/>
        </w:rPr>
        <w:footnoteRef/>
      </w:r>
      <w:r w:rsidRPr="00231B12">
        <w:rPr>
          <w:highlight w:val="yellow"/>
        </w:rPr>
        <w:t xml:space="preserve"> See link: </w:t>
      </w:r>
      <w:r w:rsidRPr="00231B12">
        <w:rPr>
          <w:szCs w:val="18"/>
          <w:highlight w:val="yellow"/>
        </w:rPr>
        <w:t>“Guidance about the Financial aspects of any application” on “</w:t>
      </w:r>
      <w:hyperlink r:id="rId13" w:anchor="th-round---how-to-apply" w:history="1">
        <w:r w:rsidRPr="00231B12">
          <w:rPr>
            <w:rStyle w:val="Hyperlink"/>
            <w:szCs w:val="18"/>
            <w:highlight w:val="yellow"/>
            <w:lang w:val="en"/>
          </w:rPr>
          <w:t>Oil and gas: licensing rounds</w:t>
        </w:r>
      </w:hyperlink>
      <w:r w:rsidRPr="00231B12">
        <w:rPr>
          <w:szCs w:val="18"/>
          <w:highlight w:val="yellow"/>
        </w:rPr>
        <w:t>”.</w:t>
      </w:r>
    </w:p>
  </w:footnote>
  <w:footnote w:id="14">
    <w:p w14:paraId="4BE71207" w14:textId="77777777" w:rsidR="008371BF" w:rsidRPr="00231B12" w:rsidRDefault="008371BF" w:rsidP="001B272F">
      <w:pPr>
        <w:pStyle w:val="FootnoteText"/>
        <w:rPr>
          <w:highlight w:val="yellow"/>
        </w:rPr>
      </w:pPr>
      <w:r w:rsidRPr="00231B12">
        <w:rPr>
          <w:rStyle w:val="FootnoteReference"/>
          <w:highlight w:val="yellow"/>
        </w:rPr>
        <w:footnoteRef/>
      </w:r>
      <w:r w:rsidRPr="00231B12">
        <w:rPr>
          <w:highlight w:val="yellow"/>
        </w:rPr>
        <w:t xml:space="preserve"> See link: </w:t>
      </w:r>
      <w:r w:rsidRPr="00231B12">
        <w:rPr>
          <w:szCs w:val="18"/>
          <w:highlight w:val="yellow"/>
        </w:rPr>
        <w:t>“Guidance about the Financial aspects of any application” on “</w:t>
      </w:r>
      <w:hyperlink r:id="rId14" w:anchor="th-round---how-to-apply" w:history="1">
        <w:r w:rsidRPr="00231B12">
          <w:rPr>
            <w:rStyle w:val="Hyperlink"/>
            <w:szCs w:val="18"/>
            <w:highlight w:val="yellow"/>
            <w:lang w:val="en"/>
          </w:rPr>
          <w:t>Oil and gas: licensing rounds</w:t>
        </w:r>
      </w:hyperlink>
      <w:r w:rsidRPr="00231B12">
        <w:rPr>
          <w:szCs w:val="18"/>
          <w:highlight w:val="yellow"/>
        </w:rPr>
        <w:t>”.</w:t>
      </w:r>
    </w:p>
  </w:footnote>
  <w:footnote w:id="15">
    <w:p w14:paraId="4BE71208" w14:textId="77777777" w:rsidR="008371BF" w:rsidRDefault="008371BF" w:rsidP="001B272F">
      <w:pPr>
        <w:pStyle w:val="FootnoteText"/>
      </w:pPr>
      <w:r w:rsidRPr="00231B12">
        <w:rPr>
          <w:rStyle w:val="FootnoteReference"/>
          <w:highlight w:val="yellow"/>
        </w:rPr>
        <w:footnoteRef/>
      </w:r>
      <w:r w:rsidRPr="00231B12">
        <w:rPr>
          <w:highlight w:val="yellow"/>
        </w:rPr>
        <w:t xml:space="preserve"> See link: </w:t>
      </w:r>
      <w:r w:rsidRPr="00231B12">
        <w:rPr>
          <w:szCs w:val="18"/>
          <w:highlight w:val="yellow"/>
        </w:rPr>
        <w:t>“Guidance about the Technical aspects of any application” on “</w:t>
      </w:r>
      <w:hyperlink r:id="rId15" w:anchor="th-round---how-to-apply" w:history="1">
        <w:r w:rsidRPr="00231B12">
          <w:rPr>
            <w:rStyle w:val="Hyperlink"/>
            <w:szCs w:val="18"/>
            <w:highlight w:val="yellow"/>
            <w:lang w:val="en"/>
          </w:rPr>
          <w:t>Oil and gas: licensing rounds</w:t>
        </w:r>
      </w:hyperlink>
      <w:r w:rsidRPr="00231B12">
        <w:rPr>
          <w:szCs w:val="18"/>
          <w:highlight w:val="yellow"/>
        </w:rPr>
        <w:t>”.</w:t>
      </w:r>
    </w:p>
  </w:footnote>
  <w:footnote w:id="16">
    <w:p w14:paraId="4BE71209" w14:textId="768B9022" w:rsidR="008371BF" w:rsidRDefault="008371BF">
      <w:pPr>
        <w:pStyle w:val="FootnoteText"/>
      </w:pPr>
      <w:r>
        <w:rPr>
          <w:rStyle w:val="FootnoteReference"/>
        </w:rPr>
        <w:footnoteRef/>
      </w:r>
      <w:r>
        <w:t xml:space="preserve"> See </w:t>
      </w:r>
      <w:hyperlink r:id="rId16" w:history="1">
        <w:r w:rsidRPr="004C148A">
          <w:rPr>
            <w:rStyle w:val="Hyperlink"/>
          </w:rPr>
          <w:t>http://www.hse.gov.uk/osdr/</w:t>
        </w:r>
      </w:hyperlink>
      <w:r>
        <w:t xml:space="preserve">. </w:t>
      </w:r>
    </w:p>
  </w:footnote>
  <w:footnote w:id="17">
    <w:p w14:paraId="6ABC9FCA" w14:textId="01E74C7E" w:rsidR="008371BF" w:rsidRDefault="008371BF">
      <w:pPr>
        <w:pStyle w:val="FootnoteText"/>
      </w:pPr>
      <w:r>
        <w:rPr>
          <w:rStyle w:val="FootnoteReference"/>
        </w:rPr>
        <w:footnoteRef/>
      </w:r>
      <w:r>
        <w:t xml:space="preserve"> See </w:t>
      </w:r>
      <w:hyperlink r:id="rId17" w:history="1">
        <w:r w:rsidRPr="008751EC">
          <w:rPr>
            <w:rStyle w:val="Hyperlink"/>
          </w:rPr>
          <w:t>https://www.ogauthority.co.uk/licensing-consents/licensing-system/licensee-criteria/</w:t>
        </w:r>
      </w:hyperlink>
    </w:p>
  </w:footnote>
  <w:footnote w:id="18">
    <w:p w14:paraId="415BB517" w14:textId="1EDC3CDD" w:rsidR="008371BF" w:rsidRDefault="008371BF">
      <w:pPr>
        <w:pStyle w:val="FootnoteText"/>
      </w:pPr>
      <w:r>
        <w:rPr>
          <w:rStyle w:val="FootnoteReference"/>
        </w:rPr>
        <w:footnoteRef/>
      </w:r>
      <w:r>
        <w:t xml:space="preserve"> See </w:t>
      </w:r>
      <w:hyperlink r:id="rId18" w:history="1">
        <w:r w:rsidRPr="008751EC">
          <w:rPr>
            <w:rStyle w:val="Hyperlink"/>
          </w:rPr>
          <w:t>https://www.ogauthority.co.uk/licensing-consents/licensing-system/licensee-criteria/</w:t>
        </w:r>
      </w:hyperlink>
    </w:p>
    <w:p w14:paraId="2376AAF8" w14:textId="763F1715" w:rsidR="008371BF" w:rsidRDefault="008371BF">
      <w:pPr>
        <w:pStyle w:val="FootnoteText"/>
      </w:pPr>
      <w:r>
        <w:t>.</w:t>
      </w:r>
    </w:p>
  </w:footnote>
  <w:footnote w:id="19">
    <w:p w14:paraId="17E2D128" w14:textId="77777777" w:rsidR="008371BF" w:rsidRDefault="008371BF" w:rsidP="002517FC">
      <w:pPr>
        <w:pStyle w:val="FootnoteText"/>
      </w:pPr>
      <w:r w:rsidRPr="00334CCD">
        <w:rPr>
          <w:rStyle w:val="FootnoteReference"/>
          <w:highlight w:val="yellow"/>
        </w:rPr>
        <w:footnoteRef/>
      </w:r>
      <w:r w:rsidRPr="00334CCD">
        <w:rPr>
          <w:highlight w:val="yellow"/>
        </w:rPr>
        <w:t xml:space="preserve"> See link: </w:t>
      </w:r>
      <w:r w:rsidRPr="00334CCD">
        <w:rPr>
          <w:szCs w:val="18"/>
          <w:highlight w:val="yellow"/>
        </w:rPr>
        <w:t>“Guidance about the Technical aspects of any application” on “</w:t>
      </w:r>
      <w:hyperlink r:id="rId19" w:anchor="th-round---how-to-apply" w:history="1">
        <w:r w:rsidRPr="00334CCD">
          <w:rPr>
            <w:rStyle w:val="Hyperlink"/>
            <w:szCs w:val="18"/>
            <w:highlight w:val="yellow"/>
            <w:lang w:val="en"/>
          </w:rPr>
          <w:t>Oil and gas: licensing rounds</w:t>
        </w:r>
      </w:hyperlink>
      <w:r w:rsidRPr="00334CCD">
        <w:rPr>
          <w:szCs w:val="18"/>
          <w:highlight w:val="yellow"/>
        </w:rPr>
        <w:t>” for more detail.</w:t>
      </w:r>
    </w:p>
  </w:footnote>
  <w:footnote w:id="20">
    <w:p w14:paraId="4BE7120E" w14:textId="3ED427BE" w:rsidR="008371BF" w:rsidRDefault="008371BF">
      <w:pPr>
        <w:pStyle w:val="FootnoteText"/>
      </w:pPr>
      <w:r>
        <w:rPr>
          <w:rStyle w:val="FootnoteReference"/>
        </w:rPr>
        <w:footnoteRef/>
      </w:r>
      <w:r>
        <w:t xml:space="preserve"> </w:t>
      </w:r>
      <w:r w:rsidRPr="000A2E06">
        <w:t>Petroleum Licensing (Applications) Regulations 2015 (2015/766)</w:t>
      </w:r>
      <w:r>
        <w:t>.</w:t>
      </w:r>
    </w:p>
  </w:footnote>
  <w:footnote w:id="21">
    <w:p w14:paraId="4BE7120F" w14:textId="6F4EC36E" w:rsidR="008371BF" w:rsidRDefault="008371BF" w:rsidP="00200C25">
      <w:pPr>
        <w:pStyle w:val="FootnoteText"/>
      </w:pPr>
      <w:r w:rsidRPr="00647A12">
        <w:rPr>
          <w:rStyle w:val="FootnoteReference"/>
        </w:rPr>
        <w:footnoteRef/>
      </w:r>
      <w:r w:rsidRPr="00647A12">
        <w:t xml:space="preserve"> See </w:t>
      </w:r>
      <w:hyperlink r:id="rId20" w:history="1">
        <w:r w:rsidRPr="00647A12">
          <w:rPr>
            <w:rStyle w:val="Hyperlink"/>
            <w:rFonts w:cs="Arial"/>
          </w:rPr>
          <w:t>https://www.ogauthority.co.uk/licensing-consents/licensing-system/payment-of-licence-rentals/</w:t>
        </w:r>
      </w:hyperlink>
      <w:r w:rsidRPr="00647A12">
        <w:t>.</w:t>
      </w:r>
    </w:p>
  </w:footnote>
  <w:footnote w:id="22">
    <w:p w14:paraId="4BE71210" w14:textId="77777777" w:rsidR="008371BF" w:rsidRDefault="008371BF">
      <w:pPr>
        <w:pStyle w:val="FootnoteText"/>
      </w:pPr>
      <w:r>
        <w:rPr>
          <w:rStyle w:val="FootnoteReference"/>
        </w:rPr>
        <w:footnoteRef/>
      </w:r>
      <w:r>
        <w:t xml:space="preserve"> See section 9A of the Petroleum Act 1998.</w:t>
      </w:r>
    </w:p>
  </w:footnote>
  <w:footnote w:id="23">
    <w:p w14:paraId="4BE71211" w14:textId="0FC0855E" w:rsidR="008371BF" w:rsidRDefault="008371BF" w:rsidP="00E950C7">
      <w:r>
        <w:rPr>
          <w:rStyle w:val="FootnoteReference"/>
        </w:rPr>
        <w:footnoteRef/>
      </w:r>
      <w:r>
        <w:t xml:space="preserve"> See section 9A and 9B of the Petroleum Act 1998 and the Strategy at </w:t>
      </w:r>
      <w:hyperlink r:id="rId21" w:history="1">
        <w:r w:rsidRPr="00E950C7">
          <w:rPr>
            <w:sz w:val="18"/>
          </w:rPr>
          <w:t>https://www.ogauthority.co.uk/news-publications/publications/2016/maximising-economic-recovery-of-uk-petroleum-the-mer-uk-strategy/</w:t>
        </w:r>
      </w:hyperlink>
      <w:r w:rsidRPr="00E950C7">
        <w:rPr>
          <w:sz w:val="18"/>
        </w:rPr>
        <w:t>}.</w:t>
      </w:r>
    </w:p>
  </w:footnote>
  <w:footnote w:id="24">
    <w:p w14:paraId="27CFCA77" w14:textId="77777777" w:rsidR="008371BF" w:rsidRDefault="008371BF">
      <w:pPr>
        <w:pStyle w:val="FootnoteText"/>
        <w:rPr>
          <w:szCs w:val="18"/>
        </w:rPr>
      </w:pPr>
      <w:r>
        <w:rPr>
          <w:rStyle w:val="FootnoteReference"/>
        </w:rPr>
        <w:footnoteRef/>
      </w:r>
      <w:r>
        <w:t xml:space="preserve"> See link: </w:t>
      </w:r>
      <w:r w:rsidRPr="00496007">
        <w:rPr>
          <w:szCs w:val="18"/>
        </w:rPr>
        <w:t>“</w:t>
      </w:r>
      <w:r>
        <w:rPr>
          <w:szCs w:val="18"/>
        </w:rPr>
        <w:t>Other regulatory issues”</w:t>
      </w:r>
      <w:r w:rsidRPr="00496007">
        <w:rPr>
          <w:szCs w:val="18"/>
        </w:rPr>
        <w:t xml:space="preserve"> on “</w:t>
      </w:r>
      <w:r w:rsidRPr="00207138">
        <w:t>https://www.ogauthority.co.uk/licensing-consents/licensing-rounds/</w:t>
      </w:r>
      <w:r>
        <w:rPr>
          <w:szCs w:val="18"/>
        </w:rPr>
        <w:t>”</w:t>
      </w:r>
      <w:r w:rsidRPr="00496007">
        <w:rPr>
          <w:szCs w:val="18"/>
        </w:rPr>
        <w:t>.</w:t>
      </w:r>
    </w:p>
    <w:p w14:paraId="4BE71213" w14:textId="6996F98A" w:rsidR="008371BF" w:rsidRDefault="008371BF">
      <w:pPr>
        <w:pStyle w:val="FootnoteText"/>
      </w:pPr>
      <w:r>
        <w:t xml:space="preserve"> </w:t>
      </w:r>
    </w:p>
  </w:footnote>
  <w:footnote w:id="25">
    <w:p w14:paraId="4BE71214" w14:textId="345479C2" w:rsidR="008371BF" w:rsidRDefault="008371BF" w:rsidP="00496007">
      <w:pPr>
        <w:spacing w:before="0" w:after="0"/>
        <w:rPr>
          <w:sz w:val="18"/>
          <w:szCs w:val="18"/>
        </w:rPr>
      </w:pPr>
      <w:r w:rsidRPr="00496007">
        <w:rPr>
          <w:rStyle w:val="FootnoteReference"/>
          <w:sz w:val="18"/>
          <w:szCs w:val="18"/>
        </w:rPr>
        <w:footnoteRef/>
      </w:r>
      <w:r w:rsidRPr="00496007">
        <w:rPr>
          <w:sz w:val="18"/>
          <w:szCs w:val="18"/>
        </w:rPr>
        <w:t xml:space="preserve"> See </w:t>
      </w:r>
      <w:hyperlink r:id="rId22" w:history="1">
        <w:r w:rsidRPr="008751EC">
          <w:rPr>
            <w:rStyle w:val="Hyperlink"/>
            <w:sz w:val="18"/>
            <w:szCs w:val="18"/>
          </w:rPr>
          <w:t>https://www.ogauthority.co.uk/data-centre/</w:t>
        </w:r>
      </w:hyperlink>
      <w:r w:rsidRPr="00496007">
        <w:rPr>
          <w:sz w:val="18"/>
          <w:szCs w:val="18"/>
        </w:rPr>
        <w:t>.</w:t>
      </w:r>
    </w:p>
    <w:p w14:paraId="689E6C74" w14:textId="77777777" w:rsidR="008371BF" w:rsidRPr="00496007" w:rsidRDefault="008371BF" w:rsidP="00496007">
      <w:pPr>
        <w:spacing w:before="0" w:after="0"/>
        <w:rPr>
          <w:b/>
          <w:color w:val="FF0000"/>
          <w:sz w:val="18"/>
          <w:szCs w:val="18"/>
        </w:rPr>
      </w:pPr>
    </w:p>
  </w:footnote>
  <w:footnote w:id="26">
    <w:p w14:paraId="64355EAE" w14:textId="4232E409" w:rsidR="008371BF" w:rsidRDefault="008371BF">
      <w:pPr>
        <w:pStyle w:val="FootnoteText"/>
      </w:pPr>
      <w:r>
        <w:rPr>
          <w:rStyle w:val="FootnoteReference"/>
        </w:rPr>
        <w:footnoteRef/>
      </w:r>
      <w:r>
        <w:t xml:space="preserve"> See </w:t>
      </w:r>
      <w:hyperlink r:id="rId23" w:history="1">
        <w:r w:rsidRPr="00F32B2F">
          <w:rPr>
            <w:rStyle w:val="Hyperlink"/>
          </w:rPr>
          <w:t>https://www.ogauthority.co.uk/news-publications/consultations/2017/proposed-regulations-for-the-retention-and-disclosure-of-information-and-samples/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11F6" w14:textId="77777777" w:rsidR="008371BF" w:rsidRDefault="008371BF">
    <w:pPr>
      <w:pStyle w:val="AnnexeParas"/>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11F8" w14:textId="77777777" w:rsidR="008371BF" w:rsidRDefault="008371BF">
    <w:pPr>
      <w:pStyle w:val="AnnexeParas"/>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0"/>
    <w:multiLevelType w:val="multilevel"/>
    <w:tmpl w:val="477237C0"/>
    <w:lvl w:ilvl="0">
      <w:start w:val="1"/>
      <w:numFmt w:val="decimal"/>
      <w:pStyle w:val="ListNumber2"/>
      <w:lvlText w:val="%1)"/>
      <w:lvlJc w:val="left"/>
      <w:pPr>
        <w:tabs>
          <w:tab w:val="num" w:pos="1003"/>
        </w:tabs>
        <w:ind w:left="1003" w:hanging="720"/>
      </w:pPr>
    </w:lvl>
    <w:lvl w:ilvl="1">
      <w:start w:val="1"/>
      <w:numFmt w:val="lowerLetter"/>
      <w:pStyle w:val="ListNumber3"/>
      <w:lvlText w:val="%2)"/>
      <w:lvlJc w:val="left"/>
      <w:pPr>
        <w:tabs>
          <w:tab w:val="num" w:pos="1363"/>
        </w:tabs>
        <w:ind w:left="1003" w:firstLine="0"/>
      </w:pPr>
    </w:lvl>
    <w:lvl w:ilvl="2">
      <w:start w:val="1"/>
      <w:numFmt w:val="lowerRoman"/>
      <w:pStyle w:val="ListNumber3"/>
      <w:lvlText w:val="%3)"/>
      <w:lvlJc w:val="left"/>
      <w:pPr>
        <w:tabs>
          <w:tab w:val="num" w:pos="2443"/>
        </w:tabs>
        <w:ind w:left="1723" w:firstLine="0"/>
      </w:p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1" w15:restartNumberingAfterBreak="0">
    <w:nsid w:val="0B1C5F97"/>
    <w:multiLevelType w:val="multilevel"/>
    <w:tmpl w:val="FF8AE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A538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4300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E036D"/>
    <w:multiLevelType w:val="multilevel"/>
    <w:tmpl w:val="0136C436"/>
    <w:lvl w:ilvl="0">
      <w:start w:val="1"/>
      <w:numFmt w:val="decimal"/>
      <w:pStyle w:val="BulletText"/>
      <w:lvlText w:val="%1)"/>
      <w:lvlJc w:val="left"/>
      <w:pPr>
        <w:ind w:left="360" w:hanging="360"/>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6F3ACE"/>
    <w:multiLevelType w:val="hybridMultilevel"/>
    <w:tmpl w:val="5C42D416"/>
    <w:lvl w:ilvl="0" w:tplc="DC6CC78A">
      <w:start w:val="1"/>
      <w:numFmt w:val="bullet"/>
      <w:pStyle w:val="Schedule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914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C15A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7D1B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E216E9"/>
    <w:multiLevelType w:val="singleLevel"/>
    <w:tmpl w:val="5CC2E548"/>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952403B"/>
    <w:multiLevelType w:val="multilevel"/>
    <w:tmpl w:val="9140E9E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A00885"/>
    <w:multiLevelType w:val="hybridMultilevel"/>
    <w:tmpl w:val="1B1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D009C"/>
    <w:multiLevelType w:val="hybridMultilevel"/>
    <w:tmpl w:val="A72A5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BC5F33"/>
    <w:multiLevelType w:val="multilevel"/>
    <w:tmpl w:val="EDFEB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B83668"/>
    <w:multiLevelType w:val="multilevel"/>
    <w:tmpl w:val="C322915C"/>
    <w:lvl w:ilvl="0">
      <w:start w:val="1"/>
      <w:numFmt w:val="decimal"/>
      <w:pStyle w:val="AnnexeParas"/>
      <w:lvlText w:val="%1)"/>
      <w:lvlJc w:val="left"/>
      <w:pPr>
        <w:tabs>
          <w:tab w:val="num" w:pos="360"/>
        </w:tabs>
        <w:ind w:left="0" w:firstLine="0"/>
      </w:pPr>
      <w:rPr>
        <w:rFonts w:hint="default"/>
      </w:rPr>
    </w:lvl>
    <w:lvl w:ilvl="1">
      <w:start w:val="1"/>
      <w:numFmt w:val="upperRoman"/>
      <w:lvlText w:val="%2)"/>
      <w:lvlJc w:val="left"/>
      <w:pPr>
        <w:tabs>
          <w:tab w:val="num" w:pos="144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10"/>
  </w:num>
  <w:num w:numId="4">
    <w:abstractNumId w:val="5"/>
  </w:num>
  <w:num w:numId="5">
    <w:abstractNumId w:val="14"/>
  </w:num>
  <w:num w:numId="6">
    <w:abstractNumId w:val="6"/>
  </w:num>
  <w:num w:numId="7">
    <w:abstractNumId w:val="3"/>
  </w:num>
  <w:num w:numId="8">
    <w:abstractNumId w:val="2"/>
  </w:num>
  <w:num w:numId="9">
    <w:abstractNumId w:val="7"/>
  </w:num>
  <w:num w:numId="10">
    <w:abstractNumId w:val="4"/>
  </w:num>
  <w:num w:numId="11">
    <w:abstractNumId w:val="13"/>
  </w:num>
  <w:num w:numId="12">
    <w:abstractNumId w:val="4"/>
  </w:num>
  <w:num w:numId="13">
    <w:abstractNumId w:val="4"/>
  </w:num>
  <w:num w:numId="14">
    <w:abstractNumId w:val="9"/>
  </w:num>
  <w:num w:numId="15">
    <w:abstractNumId w:val="12"/>
  </w:num>
  <w:num w:numId="16">
    <w:abstractNumId w:val="11"/>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intFractionalCharacterWidth/>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oNotHyphenateCaps/>
  <w:drawingGridHorizontalSpacing w:val="101"/>
  <w:drawingGridVerticalSpacing w:val="130"/>
  <w:displayHorizontalDrawingGridEvery w:val="0"/>
  <w:displayVerticalDrawingGridEvery w:val="1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43"/>
    <w:rsid w:val="00001AAA"/>
    <w:rsid w:val="000029A4"/>
    <w:rsid w:val="00002F99"/>
    <w:rsid w:val="00003503"/>
    <w:rsid w:val="00004EA4"/>
    <w:rsid w:val="0001161A"/>
    <w:rsid w:val="0001551A"/>
    <w:rsid w:val="00020234"/>
    <w:rsid w:val="00020E1D"/>
    <w:rsid w:val="00024C85"/>
    <w:rsid w:val="00025637"/>
    <w:rsid w:val="00030E04"/>
    <w:rsid w:val="00030E91"/>
    <w:rsid w:val="00031EBF"/>
    <w:rsid w:val="000324CD"/>
    <w:rsid w:val="00034ED3"/>
    <w:rsid w:val="00035384"/>
    <w:rsid w:val="00035DF3"/>
    <w:rsid w:val="0003632A"/>
    <w:rsid w:val="00036E24"/>
    <w:rsid w:val="00037CFF"/>
    <w:rsid w:val="0004047A"/>
    <w:rsid w:val="0004188D"/>
    <w:rsid w:val="000435DC"/>
    <w:rsid w:val="00043A02"/>
    <w:rsid w:val="0004488D"/>
    <w:rsid w:val="00047139"/>
    <w:rsid w:val="00052051"/>
    <w:rsid w:val="00052855"/>
    <w:rsid w:val="00052BF7"/>
    <w:rsid w:val="000562AF"/>
    <w:rsid w:val="00056A0F"/>
    <w:rsid w:val="00056B3D"/>
    <w:rsid w:val="000579E8"/>
    <w:rsid w:val="00061F8A"/>
    <w:rsid w:val="00063454"/>
    <w:rsid w:val="00065D1E"/>
    <w:rsid w:val="000661FB"/>
    <w:rsid w:val="00070414"/>
    <w:rsid w:val="00071058"/>
    <w:rsid w:val="000733C3"/>
    <w:rsid w:val="00073FDA"/>
    <w:rsid w:val="00075530"/>
    <w:rsid w:val="00076800"/>
    <w:rsid w:val="00077657"/>
    <w:rsid w:val="000776F9"/>
    <w:rsid w:val="000907BE"/>
    <w:rsid w:val="000928F2"/>
    <w:rsid w:val="000934E4"/>
    <w:rsid w:val="00095DF1"/>
    <w:rsid w:val="0009676C"/>
    <w:rsid w:val="00096B07"/>
    <w:rsid w:val="00097802"/>
    <w:rsid w:val="000A1556"/>
    <w:rsid w:val="000A19D7"/>
    <w:rsid w:val="000A1B25"/>
    <w:rsid w:val="000A2E06"/>
    <w:rsid w:val="000A502D"/>
    <w:rsid w:val="000A551E"/>
    <w:rsid w:val="000A59CD"/>
    <w:rsid w:val="000A5B82"/>
    <w:rsid w:val="000A792D"/>
    <w:rsid w:val="000B2AF7"/>
    <w:rsid w:val="000B34A8"/>
    <w:rsid w:val="000B5D74"/>
    <w:rsid w:val="000B7873"/>
    <w:rsid w:val="000C13CD"/>
    <w:rsid w:val="000C1D06"/>
    <w:rsid w:val="000C330A"/>
    <w:rsid w:val="000C42DE"/>
    <w:rsid w:val="000C747A"/>
    <w:rsid w:val="000D2B96"/>
    <w:rsid w:val="000D3D15"/>
    <w:rsid w:val="000D4606"/>
    <w:rsid w:val="000D6781"/>
    <w:rsid w:val="000D6E67"/>
    <w:rsid w:val="000D70C7"/>
    <w:rsid w:val="000E0AA9"/>
    <w:rsid w:val="000E26DD"/>
    <w:rsid w:val="000E3909"/>
    <w:rsid w:val="000E3BB6"/>
    <w:rsid w:val="000E4CE0"/>
    <w:rsid w:val="000E63F5"/>
    <w:rsid w:val="000E65CE"/>
    <w:rsid w:val="000E7EA4"/>
    <w:rsid w:val="000F2467"/>
    <w:rsid w:val="000F64E5"/>
    <w:rsid w:val="000F7766"/>
    <w:rsid w:val="001006D8"/>
    <w:rsid w:val="00100E44"/>
    <w:rsid w:val="001041A7"/>
    <w:rsid w:val="001057B9"/>
    <w:rsid w:val="00106185"/>
    <w:rsid w:val="00107030"/>
    <w:rsid w:val="00107E25"/>
    <w:rsid w:val="00111CC5"/>
    <w:rsid w:val="0011428C"/>
    <w:rsid w:val="00116C0E"/>
    <w:rsid w:val="001212E2"/>
    <w:rsid w:val="00121F43"/>
    <w:rsid w:val="0012302E"/>
    <w:rsid w:val="00123538"/>
    <w:rsid w:val="001240BD"/>
    <w:rsid w:val="00124297"/>
    <w:rsid w:val="0012465A"/>
    <w:rsid w:val="0013216E"/>
    <w:rsid w:val="0013292C"/>
    <w:rsid w:val="00132B7B"/>
    <w:rsid w:val="00134541"/>
    <w:rsid w:val="001356FA"/>
    <w:rsid w:val="0013721B"/>
    <w:rsid w:val="001374F0"/>
    <w:rsid w:val="0013765D"/>
    <w:rsid w:val="001415CE"/>
    <w:rsid w:val="00141AA2"/>
    <w:rsid w:val="0014257D"/>
    <w:rsid w:val="001427A2"/>
    <w:rsid w:val="00145441"/>
    <w:rsid w:val="00146B25"/>
    <w:rsid w:val="00147F36"/>
    <w:rsid w:val="001533AF"/>
    <w:rsid w:val="00157CDF"/>
    <w:rsid w:val="00165354"/>
    <w:rsid w:val="00165465"/>
    <w:rsid w:val="00166DC9"/>
    <w:rsid w:val="00167422"/>
    <w:rsid w:val="001700D4"/>
    <w:rsid w:val="001702FC"/>
    <w:rsid w:val="00170925"/>
    <w:rsid w:val="00170D1B"/>
    <w:rsid w:val="00170DC5"/>
    <w:rsid w:val="00171563"/>
    <w:rsid w:val="00172663"/>
    <w:rsid w:val="00174200"/>
    <w:rsid w:val="001852C5"/>
    <w:rsid w:val="00187D32"/>
    <w:rsid w:val="00195665"/>
    <w:rsid w:val="00196A76"/>
    <w:rsid w:val="001A43EF"/>
    <w:rsid w:val="001A66B2"/>
    <w:rsid w:val="001B26AB"/>
    <w:rsid w:val="001B272F"/>
    <w:rsid w:val="001B47EE"/>
    <w:rsid w:val="001B7861"/>
    <w:rsid w:val="001C0E7E"/>
    <w:rsid w:val="001C36BA"/>
    <w:rsid w:val="001C5616"/>
    <w:rsid w:val="001C6513"/>
    <w:rsid w:val="001C763C"/>
    <w:rsid w:val="001D0407"/>
    <w:rsid w:val="001D50DC"/>
    <w:rsid w:val="001D6204"/>
    <w:rsid w:val="001D6451"/>
    <w:rsid w:val="001D7905"/>
    <w:rsid w:val="001E34C3"/>
    <w:rsid w:val="001E475E"/>
    <w:rsid w:val="001E520C"/>
    <w:rsid w:val="001E60AD"/>
    <w:rsid w:val="001E6719"/>
    <w:rsid w:val="001F02C6"/>
    <w:rsid w:val="001F0DBC"/>
    <w:rsid w:val="001F3F76"/>
    <w:rsid w:val="001F4224"/>
    <w:rsid w:val="00200C25"/>
    <w:rsid w:val="00202FFB"/>
    <w:rsid w:val="002063F7"/>
    <w:rsid w:val="00207138"/>
    <w:rsid w:val="00207228"/>
    <w:rsid w:val="002077EA"/>
    <w:rsid w:val="00213B9D"/>
    <w:rsid w:val="00216124"/>
    <w:rsid w:val="00216B71"/>
    <w:rsid w:val="00217229"/>
    <w:rsid w:val="0022087A"/>
    <w:rsid w:val="0022169D"/>
    <w:rsid w:val="0022173A"/>
    <w:rsid w:val="00222353"/>
    <w:rsid w:val="00226333"/>
    <w:rsid w:val="002270AF"/>
    <w:rsid w:val="0022731C"/>
    <w:rsid w:val="00230707"/>
    <w:rsid w:val="002317FA"/>
    <w:rsid w:val="00231B12"/>
    <w:rsid w:val="00232CC6"/>
    <w:rsid w:val="00232DA0"/>
    <w:rsid w:val="00233DD1"/>
    <w:rsid w:val="002342D2"/>
    <w:rsid w:val="00234C06"/>
    <w:rsid w:val="00236B7C"/>
    <w:rsid w:val="00237061"/>
    <w:rsid w:val="00240E7A"/>
    <w:rsid w:val="00241FF6"/>
    <w:rsid w:val="002427CC"/>
    <w:rsid w:val="00242DB9"/>
    <w:rsid w:val="002453A7"/>
    <w:rsid w:val="00245424"/>
    <w:rsid w:val="002470E5"/>
    <w:rsid w:val="002517FC"/>
    <w:rsid w:val="00252041"/>
    <w:rsid w:val="0025259B"/>
    <w:rsid w:val="00252D1D"/>
    <w:rsid w:val="002603ED"/>
    <w:rsid w:val="00260604"/>
    <w:rsid w:val="00263D75"/>
    <w:rsid w:val="002640E2"/>
    <w:rsid w:val="00265026"/>
    <w:rsid w:val="00265518"/>
    <w:rsid w:val="002669E6"/>
    <w:rsid w:val="00267C5B"/>
    <w:rsid w:val="002711F0"/>
    <w:rsid w:val="002725AF"/>
    <w:rsid w:val="00274CD3"/>
    <w:rsid w:val="002773CA"/>
    <w:rsid w:val="00281F9A"/>
    <w:rsid w:val="00286004"/>
    <w:rsid w:val="00290321"/>
    <w:rsid w:val="00292473"/>
    <w:rsid w:val="002944B3"/>
    <w:rsid w:val="002A120D"/>
    <w:rsid w:val="002A17DA"/>
    <w:rsid w:val="002A2802"/>
    <w:rsid w:val="002A3220"/>
    <w:rsid w:val="002A383C"/>
    <w:rsid w:val="002A6110"/>
    <w:rsid w:val="002A6CD3"/>
    <w:rsid w:val="002A7512"/>
    <w:rsid w:val="002B32E7"/>
    <w:rsid w:val="002B4395"/>
    <w:rsid w:val="002B486C"/>
    <w:rsid w:val="002B4A48"/>
    <w:rsid w:val="002B517E"/>
    <w:rsid w:val="002B6707"/>
    <w:rsid w:val="002B7936"/>
    <w:rsid w:val="002C14FC"/>
    <w:rsid w:val="002C284C"/>
    <w:rsid w:val="002C30F2"/>
    <w:rsid w:val="002C50D6"/>
    <w:rsid w:val="002C6CFA"/>
    <w:rsid w:val="002C7C7C"/>
    <w:rsid w:val="002D0E34"/>
    <w:rsid w:val="002D0E43"/>
    <w:rsid w:val="002D11AA"/>
    <w:rsid w:val="002D243B"/>
    <w:rsid w:val="002D37AA"/>
    <w:rsid w:val="002D56C0"/>
    <w:rsid w:val="002D5D7F"/>
    <w:rsid w:val="002D6DCF"/>
    <w:rsid w:val="002D7427"/>
    <w:rsid w:val="002D78EC"/>
    <w:rsid w:val="002E388B"/>
    <w:rsid w:val="002E4EB7"/>
    <w:rsid w:val="002E6BE3"/>
    <w:rsid w:val="002F0A8E"/>
    <w:rsid w:val="002F26F8"/>
    <w:rsid w:val="002F36BD"/>
    <w:rsid w:val="002F5269"/>
    <w:rsid w:val="002F713B"/>
    <w:rsid w:val="002F7145"/>
    <w:rsid w:val="00302A32"/>
    <w:rsid w:val="00302F25"/>
    <w:rsid w:val="003045B1"/>
    <w:rsid w:val="00306BFF"/>
    <w:rsid w:val="00310775"/>
    <w:rsid w:val="0031272E"/>
    <w:rsid w:val="0031286C"/>
    <w:rsid w:val="00312EC0"/>
    <w:rsid w:val="00314BE3"/>
    <w:rsid w:val="00316B6F"/>
    <w:rsid w:val="0031765E"/>
    <w:rsid w:val="00317B33"/>
    <w:rsid w:val="00320A9C"/>
    <w:rsid w:val="00322C85"/>
    <w:rsid w:val="00322D4B"/>
    <w:rsid w:val="00322E99"/>
    <w:rsid w:val="00326244"/>
    <w:rsid w:val="00327B1D"/>
    <w:rsid w:val="00330EB8"/>
    <w:rsid w:val="00331332"/>
    <w:rsid w:val="0033210B"/>
    <w:rsid w:val="00332D2F"/>
    <w:rsid w:val="00334877"/>
    <w:rsid w:val="00334CCD"/>
    <w:rsid w:val="00335AFF"/>
    <w:rsid w:val="00336A4F"/>
    <w:rsid w:val="003400B5"/>
    <w:rsid w:val="00340B63"/>
    <w:rsid w:val="00341B1B"/>
    <w:rsid w:val="00342BB6"/>
    <w:rsid w:val="00343383"/>
    <w:rsid w:val="00343475"/>
    <w:rsid w:val="003439E6"/>
    <w:rsid w:val="0034578D"/>
    <w:rsid w:val="00345B7F"/>
    <w:rsid w:val="00347632"/>
    <w:rsid w:val="00350FB8"/>
    <w:rsid w:val="00352B24"/>
    <w:rsid w:val="00356C2A"/>
    <w:rsid w:val="00360FD0"/>
    <w:rsid w:val="003634C5"/>
    <w:rsid w:val="00363975"/>
    <w:rsid w:val="003677C5"/>
    <w:rsid w:val="00367FB5"/>
    <w:rsid w:val="003708BC"/>
    <w:rsid w:val="00373A7D"/>
    <w:rsid w:val="0037401A"/>
    <w:rsid w:val="00377B10"/>
    <w:rsid w:val="003804A1"/>
    <w:rsid w:val="00383052"/>
    <w:rsid w:val="00383C20"/>
    <w:rsid w:val="003858FC"/>
    <w:rsid w:val="003869B3"/>
    <w:rsid w:val="0039055C"/>
    <w:rsid w:val="00392DDF"/>
    <w:rsid w:val="00393480"/>
    <w:rsid w:val="00396F69"/>
    <w:rsid w:val="003A026B"/>
    <w:rsid w:val="003A206A"/>
    <w:rsid w:val="003A2359"/>
    <w:rsid w:val="003A5AD4"/>
    <w:rsid w:val="003A7AF7"/>
    <w:rsid w:val="003B172B"/>
    <w:rsid w:val="003B5279"/>
    <w:rsid w:val="003B5FA9"/>
    <w:rsid w:val="003C0FBA"/>
    <w:rsid w:val="003C4CEE"/>
    <w:rsid w:val="003D11B2"/>
    <w:rsid w:val="003D5A25"/>
    <w:rsid w:val="003E1138"/>
    <w:rsid w:val="003E1812"/>
    <w:rsid w:val="003E207F"/>
    <w:rsid w:val="003E27EB"/>
    <w:rsid w:val="003E31FE"/>
    <w:rsid w:val="003E5B49"/>
    <w:rsid w:val="003E68C2"/>
    <w:rsid w:val="003E7420"/>
    <w:rsid w:val="003F11E7"/>
    <w:rsid w:val="003F1478"/>
    <w:rsid w:val="003F47A2"/>
    <w:rsid w:val="003F60BB"/>
    <w:rsid w:val="003F63F5"/>
    <w:rsid w:val="0040050A"/>
    <w:rsid w:val="0040201E"/>
    <w:rsid w:val="00404D85"/>
    <w:rsid w:val="00405281"/>
    <w:rsid w:val="0040613D"/>
    <w:rsid w:val="00406D8E"/>
    <w:rsid w:val="0041157E"/>
    <w:rsid w:val="00412B68"/>
    <w:rsid w:val="00412E75"/>
    <w:rsid w:val="00413797"/>
    <w:rsid w:val="0041452A"/>
    <w:rsid w:val="004156E4"/>
    <w:rsid w:val="004177F3"/>
    <w:rsid w:val="0042070C"/>
    <w:rsid w:val="00421038"/>
    <w:rsid w:val="0042281B"/>
    <w:rsid w:val="0042348E"/>
    <w:rsid w:val="00423D49"/>
    <w:rsid w:val="00424A3A"/>
    <w:rsid w:val="00425488"/>
    <w:rsid w:val="004277D3"/>
    <w:rsid w:val="00427BA4"/>
    <w:rsid w:val="00431E0A"/>
    <w:rsid w:val="00433ED4"/>
    <w:rsid w:val="00434967"/>
    <w:rsid w:val="004374F0"/>
    <w:rsid w:val="00437D36"/>
    <w:rsid w:val="00440AF3"/>
    <w:rsid w:val="00441C90"/>
    <w:rsid w:val="00444279"/>
    <w:rsid w:val="00450544"/>
    <w:rsid w:val="00452069"/>
    <w:rsid w:val="00455909"/>
    <w:rsid w:val="00457098"/>
    <w:rsid w:val="00457FEC"/>
    <w:rsid w:val="00465E53"/>
    <w:rsid w:val="00466371"/>
    <w:rsid w:val="00467067"/>
    <w:rsid w:val="00470B1A"/>
    <w:rsid w:val="00474699"/>
    <w:rsid w:val="00475C1D"/>
    <w:rsid w:val="00475EF0"/>
    <w:rsid w:val="004766C3"/>
    <w:rsid w:val="00477CA0"/>
    <w:rsid w:val="004806DA"/>
    <w:rsid w:val="004829E2"/>
    <w:rsid w:val="00483394"/>
    <w:rsid w:val="00483396"/>
    <w:rsid w:val="004842DA"/>
    <w:rsid w:val="00484BD8"/>
    <w:rsid w:val="00486884"/>
    <w:rsid w:val="00486AE6"/>
    <w:rsid w:val="004874E4"/>
    <w:rsid w:val="004900B8"/>
    <w:rsid w:val="00490270"/>
    <w:rsid w:val="00491F8A"/>
    <w:rsid w:val="00492F33"/>
    <w:rsid w:val="004945C9"/>
    <w:rsid w:val="00495918"/>
    <w:rsid w:val="00496007"/>
    <w:rsid w:val="00496FAA"/>
    <w:rsid w:val="004975EC"/>
    <w:rsid w:val="00497DBA"/>
    <w:rsid w:val="00497E34"/>
    <w:rsid w:val="004A02DC"/>
    <w:rsid w:val="004A0377"/>
    <w:rsid w:val="004A160A"/>
    <w:rsid w:val="004A2CC4"/>
    <w:rsid w:val="004A32D4"/>
    <w:rsid w:val="004A365B"/>
    <w:rsid w:val="004A38C9"/>
    <w:rsid w:val="004A4EC8"/>
    <w:rsid w:val="004B0C4B"/>
    <w:rsid w:val="004B7087"/>
    <w:rsid w:val="004B7C20"/>
    <w:rsid w:val="004C03A0"/>
    <w:rsid w:val="004C08BC"/>
    <w:rsid w:val="004C2331"/>
    <w:rsid w:val="004C2862"/>
    <w:rsid w:val="004C33A1"/>
    <w:rsid w:val="004C4BBD"/>
    <w:rsid w:val="004C6020"/>
    <w:rsid w:val="004D176B"/>
    <w:rsid w:val="004D7596"/>
    <w:rsid w:val="004D78D0"/>
    <w:rsid w:val="004E0DBC"/>
    <w:rsid w:val="004E668A"/>
    <w:rsid w:val="004E6D60"/>
    <w:rsid w:val="004F0CED"/>
    <w:rsid w:val="004F2776"/>
    <w:rsid w:val="004F4695"/>
    <w:rsid w:val="00500AE7"/>
    <w:rsid w:val="00500CF7"/>
    <w:rsid w:val="005012C0"/>
    <w:rsid w:val="00502861"/>
    <w:rsid w:val="0050304D"/>
    <w:rsid w:val="00503807"/>
    <w:rsid w:val="0050385E"/>
    <w:rsid w:val="005053D9"/>
    <w:rsid w:val="00505728"/>
    <w:rsid w:val="0050586D"/>
    <w:rsid w:val="005114C5"/>
    <w:rsid w:val="005122E5"/>
    <w:rsid w:val="00513EDB"/>
    <w:rsid w:val="0051490F"/>
    <w:rsid w:val="0051561A"/>
    <w:rsid w:val="00515E1F"/>
    <w:rsid w:val="005165A4"/>
    <w:rsid w:val="00520A13"/>
    <w:rsid w:val="00521948"/>
    <w:rsid w:val="005221BD"/>
    <w:rsid w:val="005252EB"/>
    <w:rsid w:val="00527A1B"/>
    <w:rsid w:val="005312C7"/>
    <w:rsid w:val="00531FE7"/>
    <w:rsid w:val="00534036"/>
    <w:rsid w:val="005369B6"/>
    <w:rsid w:val="00540C33"/>
    <w:rsid w:val="00540CC8"/>
    <w:rsid w:val="00541360"/>
    <w:rsid w:val="005424AF"/>
    <w:rsid w:val="005441B7"/>
    <w:rsid w:val="00546548"/>
    <w:rsid w:val="00547D2D"/>
    <w:rsid w:val="00550AB6"/>
    <w:rsid w:val="00551C27"/>
    <w:rsid w:val="0055204E"/>
    <w:rsid w:val="00552297"/>
    <w:rsid w:val="00552D50"/>
    <w:rsid w:val="00554A8E"/>
    <w:rsid w:val="00555CC0"/>
    <w:rsid w:val="00556BDD"/>
    <w:rsid w:val="00556FFC"/>
    <w:rsid w:val="00560E29"/>
    <w:rsid w:val="005611ED"/>
    <w:rsid w:val="00561429"/>
    <w:rsid w:val="00561970"/>
    <w:rsid w:val="00561D58"/>
    <w:rsid w:val="00562004"/>
    <w:rsid w:val="0056468D"/>
    <w:rsid w:val="00566BA2"/>
    <w:rsid w:val="00567AAC"/>
    <w:rsid w:val="00571313"/>
    <w:rsid w:val="00572F55"/>
    <w:rsid w:val="00573559"/>
    <w:rsid w:val="005767E2"/>
    <w:rsid w:val="00576984"/>
    <w:rsid w:val="00576FA4"/>
    <w:rsid w:val="005779CF"/>
    <w:rsid w:val="00582976"/>
    <w:rsid w:val="005851E6"/>
    <w:rsid w:val="005859E0"/>
    <w:rsid w:val="00585A9D"/>
    <w:rsid w:val="005867B1"/>
    <w:rsid w:val="00591D99"/>
    <w:rsid w:val="0059368D"/>
    <w:rsid w:val="00595569"/>
    <w:rsid w:val="00596A13"/>
    <w:rsid w:val="00597D8C"/>
    <w:rsid w:val="005A0594"/>
    <w:rsid w:val="005A11E4"/>
    <w:rsid w:val="005A203F"/>
    <w:rsid w:val="005A2FD1"/>
    <w:rsid w:val="005A32EA"/>
    <w:rsid w:val="005A43D4"/>
    <w:rsid w:val="005A6A1D"/>
    <w:rsid w:val="005A6B85"/>
    <w:rsid w:val="005A7ECD"/>
    <w:rsid w:val="005B057F"/>
    <w:rsid w:val="005B2C22"/>
    <w:rsid w:val="005B3D62"/>
    <w:rsid w:val="005B5A93"/>
    <w:rsid w:val="005B5CF6"/>
    <w:rsid w:val="005B5CF7"/>
    <w:rsid w:val="005B7364"/>
    <w:rsid w:val="005B7BD7"/>
    <w:rsid w:val="005C23C2"/>
    <w:rsid w:val="005C46CD"/>
    <w:rsid w:val="005C4A0E"/>
    <w:rsid w:val="005C5F27"/>
    <w:rsid w:val="005C780F"/>
    <w:rsid w:val="005D193B"/>
    <w:rsid w:val="005D3AE1"/>
    <w:rsid w:val="005D3C91"/>
    <w:rsid w:val="005D54E0"/>
    <w:rsid w:val="005D5925"/>
    <w:rsid w:val="005D5D5B"/>
    <w:rsid w:val="005D658C"/>
    <w:rsid w:val="005D73FB"/>
    <w:rsid w:val="005E12FB"/>
    <w:rsid w:val="005E1BF8"/>
    <w:rsid w:val="005E2F43"/>
    <w:rsid w:val="005E3C64"/>
    <w:rsid w:val="005E4F9F"/>
    <w:rsid w:val="005F277D"/>
    <w:rsid w:val="005F2A4C"/>
    <w:rsid w:val="005F372D"/>
    <w:rsid w:val="006025C7"/>
    <w:rsid w:val="006026AC"/>
    <w:rsid w:val="006055E5"/>
    <w:rsid w:val="00605955"/>
    <w:rsid w:val="00606329"/>
    <w:rsid w:val="006065A8"/>
    <w:rsid w:val="00611113"/>
    <w:rsid w:val="006111B1"/>
    <w:rsid w:val="006133BA"/>
    <w:rsid w:val="0061408C"/>
    <w:rsid w:val="00616832"/>
    <w:rsid w:val="00621F48"/>
    <w:rsid w:val="00624336"/>
    <w:rsid w:val="00624ABC"/>
    <w:rsid w:val="0062556C"/>
    <w:rsid w:val="00634197"/>
    <w:rsid w:val="006428BD"/>
    <w:rsid w:val="0064378D"/>
    <w:rsid w:val="00647A12"/>
    <w:rsid w:val="00647A93"/>
    <w:rsid w:val="006503D2"/>
    <w:rsid w:val="006521A1"/>
    <w:rsid w:val="00656D23"/>
    <w:rsid w:val="00657009"/>
    <w:rsid w:val="00660E46"/>
    <w:rsid w:val="0066177F"/>
    <w:rsid w:val="00662B7E"/>
    <w:rsid w:val="00663116"/>
    <w:rsid w:val="00670147"/>
    <w:rsid w:val="00670478"/>
    <w:rsid w:val="00670929"/>
    <w:rsid w:val="00670F26"/>
    <w:rsid w:val="006720A9"/>
    <w:rsid w:val="00672E51"/>
    <w:rsid w:val="006742CA"/>
    <w:rsid w:val="0067662A"/>
    <w:rsid w:val="00681FEE"/>
    <w:rsid w:val="00682D89"/>
    <w:rsid w:val="00682F2C"/>
    <w:rsid w:val="0068325A"/>
    <w:rsid w:val="00686C4C"/>
    <w:rsid w:val="00690BDC"/>
    <w:rsid w:val="00691B09"/>
    <w:rsid w:val="006926FD"/>
    <w:rsid w:val="006947EF"/>
    <w:rsid w:val="00695C74"/>
    <w:rsid w:val="00696232"/>
    <w:rsid w:val="00696321"/>
    <w:rsid w:val="00697C08"/>
    <w:rsid w:val="006A6FC3"/>
    <w:rsid w:val="006B026A"/>
    <w:rsid w:val="006B4008"/>
    <w:rsid w:val="006B4183"/>
    <w:rsid w:val="006C01E8"/>
    <w:rsid w:val="006C038E"/>
    <w:rsid w:val="006C0E7C"/>
    <w:rsid w:val="006C1AB9"/>
    <w:rsid w:val="006C2137"/>
    <w:rsid w:val="006C2336"/>
    <w:rsid w:val="006C3352"/>
    <w:rsid w:val="006C41B1"/>
    <w:rsid w:val="006C4A9A"/>
    <w:rsid w:val="006C4E9C"/>
    <w:rsid w:val="006C558D"/>
    <w:rsid w:val="006D13CF"/>
    <w:rsid w:val="006D1987"/>
    <w:rsid w:val="006D2CB5"/>
    <w:rsid w:val="006D3B08"/>
    <w:rsid w:val="006D3ECA"/>
    <w:rsid w:val="006D4118"/>
    <w:rsid w:val="006D46C6"/>
    <w:rsid w:val="006E0A38"/>
    <w:rsid w:val="006E1739"/>
    <w:rsid w:val="006E466C"/>
    <w:rsid w:val="006E5927"/>
    <w:rsid w:val="006F0B4B"/>
    <w:rsid w:val="006F3AB7"/>
    <w:rsid w:val="006F5306"/>
    <w:rsid w:val="006F65F0"/>
    <w:rsid w:val="00700978"/>
    <w:rsid w:val="0070212F"/>
    <w:rsid w:val="00702761"/>
    <w:rsid w:val="0070511C"/>
    <w:rsid w:val="0070632C"/>
    <w:rsid w:val="00710786"/>
    <w:rsid w:val="00713D37"/>
    <w:rsid w:val="00715CDF"/>
    <w:rsid w:val="00721938"/>
    <w:rsid w:val="00722030"/>
    <w:rsid w:val="00724097"/>
    <w:rsid w:val="007260DE"/>
    <w:rsid w:val="00732144"/>
    <w:rsid w:val="0073227E"/>
    <w:rsid w:val="00734C6C"/>
    <w:rsid w:val="00736D24"/>
    <w:rsid w:val="0074166D"/>
    <w:rsid w:val="007450D7"/>
    <w:rsid w:val="00745469"/>
    <w:rsid w:val="00746540"/>
    <w:rsid w:val="0074722D"/>
    <w:rsid w:val="00751E78"/>
    <w:rsid w:val="00752495"/>
    <w:rsid w:val="00752963"/>
    <w:rsid w:val="00753F35"/>
    <w:rsid w:val="007564C9"/>
    <w:rsid w:val="00760AD7"/>
    <w:rsid w:val="00761008"/>
    <w:rsid w:val="007620C2"/>
    <w:rsid w:val="00762DF8"/>
    <w:rsid w:val="00763107"/>
    <w:rsid w:val="00763B69"/>
    <w:rsid w:val="0076460B"/>
    <w:rsid w:val="00764BDF"/>
    <w:rsid w:val="00765CA2"/>
    <w:rsid w:val="007716DA"/>
    <w:rsid w:val="00776A6B"/>
    <w:rsid w:val="00777644"/>
    <w:rsid w:val="0078290D"/>
    <w:rsid w:val="0078305F"/>
    <w:rsid w:val="007844DC"/>
    <w:rsid w:val="00790639"/>
    <w:rsid w:val="00791F28"/>
    <w:rsid w:val="007920E1"/>
    <w:rsid w:val="00793DBF"/>
    <w:rsid w:val="00794846"/>
    <w:rsid w:val="007A02CB"/>
    <w:rsid w:val="007A0A32"/>
    <w:rsid w:val="007A26F0"/>
    <w:rsid w:val="007A34EF"/>
    <w:rsid w:val="007A4278"/>
    <w:rsid w:val="007A4948"/>
    <w:rsid w:val="007A5033"/>
    <w:rsid w:val="007A7D1B"/>
    <w:rsid w:val="007B2A8D"/>
    <w:rsid w:val="007B61D3"/>
    <w:rsid w:val="007B666A"/>
    <w:rsid w:val="007B7D5E"/>
    <w:rsid w:val="007C10C5"/>
    <w:rsid w:val="007C56D5"/>
    <w:rsid w:val="007C57B9"/>
    <w:rsid w:val="007C5B1C"/>
    <w:rsid w:val="007D1CA8"/>
    <w:rsid w:val="007D241E"/>
    <w:rsid w:val="007D267A"/>
    <w:rsid w:val="007E058E"/>
    <w:rsid w:val="007E0C0F"/>
    <w:rsid w:val="007E5280"/>
    <w:rsid w:val="007F064D"/>
    <w:rsid w:val="007F0951"/>
    <w:rsid w:val="007F0C06"/>
    <w:rsid w:val="007F494A"/>
    <w:rsid w:val="007F60C8"/>
    <w:rsid w:val="007F65C9"/>
    <w:rsid w:val="007F67AE"/>
    <w:rsid w:val="007F6B0E"/>
    <w:rsid w:val="008012D8"/>
    <w:rsid w:val="00801593"/>
    <w:rsid w:val="008050D5"/>
    <w:rsid w:val="008114CA"/>
    <w:rsid w:val="008116A0"/>
    <w:rsid w:val="008139BB"/>
    <w:rsid w:val="008139DA"/>
    <w:rsid w:val="008146BF"/>
    <w:rsid w:val="00815B48"/>
    <w:rsid w:val="00816FF8"/>
    <w:rsid w:val="008220FB"/>
    <w:rsid w:val="00822F55"/>
    <w:rsid w:val="008251A2"/>
    <w:rsid w:val="008255AD"/>
    <w:rsid w:val="00825A61"/>
    <w:rsid w:val="008270FB"/>
    <w:rsid w:val="0082747F"/>
    <w:rsid w:val="0083129D"/>
    <w:rsid w:val="00833C39"/>
    <w:rsid w:val="008371BF"/>
    <w:rsid w:val="00837812"/>
    <w:rsid w:val="008400C7"/>
    <w:rsid w:val="008406AE"/>
    <w:rsid w:val="008441D7"/>
    <w:rsid w:val="0084594F"/>
    <w:rsid w:val="00845950"/>
    <w:rsid w:val="00846A5B"/>
    <w:rsid w:val="0084783C"/>
    <w:rsid w:val="008524FE"/>
    <w:rsid w:val="00855BAB"/>
    <w:rsid w:val="00860612"/>
    <w:rsid w:val="00861439"/>
    <w:rsid w:val="008614EE"/>
    <w:rsid w:val="00865500"/>
    <w:rsid w:val="00865966"/>
    <w:rsid w:val="008678CF"/>
    <w:rsid w:val="008700AD"/>
    <w:rsid w:val="008712C2"/>
    <w:rsid w:val="008725CB"/>
    <w:rsid w:val="00873118"/>
    <w:rsid w:val="008738E2"/>
    <w:rsid w:val="00874999"/>
    <w:rsid w:val="008756A6"/>
    <w:rsid w:val="00875BD6"/>
    <w:rsid w:val="008776F1"/>
    <w:rsid w:val="00880333"/>
    <w:rsid w:val="008803DB"/>
    <w:rsid w:val="0088374D"/>
    <w:rsid w:val="008855D4"/>
    <w:rsid w:val="00886991"/>
    <w:rsid w:val="0089139F"/>
    <w:rsid w:val="00891AF8"/>
    <w:rsid w:val="0089214F"/>
    <w:rsid w:val="00893E38"/>
    <w:rsid w:val="00894B53"/>
    <w:rsid w:val="00894D6A"/>
    <w:rsid w:val="00897485"/>
    <w:rsid w:val="008A33AE"/>
    <w:rsid w:val="008A51F5"/>
    <w:rsid w:val="008A56C4"/>
    <w:rsid w:val="008A745E"/>
    <w:rsid w:val="008B2865"/>
    <w:rsid w:val="008B3346"/>
    <w:rsid w:val="008B4DC9"/>
    <w:rsid w:val="008B5ABF"/>
    <w:rsid w:val="008B5E59"/>
    <w:rsid w:val="008B67DA"/>
    <w:rsid w:val="008B69FD"/>
    <w:rsid w:val="008B6C86"/>
    <w:rsid w:val="008C0CDB"/>
    <w:rsid w:val="008C136F"/>
    <w:rsid w:val="008C1498"/>
    <w:rsid w:val="008D16C1"/>
    <w:rsid w:val="008D1890"/>
    <w:rsid w:val="008D2B1E"/>
    <w:rsid w:val="008D4115"/>
    <w:rsid w:val="008D5E8F"/>
    <w:rsid w:val="008D7EC4"/>
    <w:rsid w:val="008E0BCD"/>
    <w:rsid w:val="008E15F6"/>
    <w:rsid w:val="008E2298"/>
    <w:rsid w:val="008E266F"/>
    <w:rsid w:val="008E50CF"/>
    <w:rsid w:val="008E6E11"/>
    <w:rsid w:val="008F0181"/>
    <w:rsid w:val="008F0920"/>
    <w:rsid w:val="008F387F"/>
    <w:rsid w:val="008F3D4A"/>
    <w:rsid w:val="008F4DA3"/>
    <w:rsid w:val="008F59CE"/>
    <w:rsid w:val="00900388"/>
    <w:rsid w:val="00900FEF"/>
    <w:rsid w:val="00902CA6"/>
    <w:rsid w:val="00903D42"/>
    <w:rsid w:val="00903E65"/>
    <w:rsid w:val="0090672B"/>
    <w:rsid w:val="009074FF"/>
    <w:rsid w:val="00907959"/>
    <w:rsid w:val="009127CD"/>
    <w:rsid w:val="00912F8C"/>
    <w:rsid w:val="00914D55"/>
    <w:rsid w:val="00916B12"/>
    <w:rsid w:val="0092179D"/>
    <w:rsid w:val="0092487C"/>
    <w:rsid w:val="009257FC"/>
    <w:rsid w:val="0092689D"/>
    <w:rsid w:val="009309E7"/>
    <w:rsid w:val="0093113D"/>
    <w:rsid w:val="009331B1"/>
    <w:rsid w:val="0093375D"/>
    <w:rsid w:val="0093620C"/>
    <w:rsid w:val="00937298"/>
    <w:rsid w:val="00941D82"/>
    <w:rsid w:val="00942408"/>
    <w:rsid w:val="00944324"/>
    <w:rsid w:val="00946D30"/>
    <w:rsid w:val="00954B04"/>
    <w:rsid w:val="0095567A"/>
    <w:rsid w:val="00956689"/>
    <w:rsid w:val="009601DD"/>
    <w:rsid w:val="0096047B"/>
    <w:rsid w:val="0096124D"/>
    <w:rsid w:val="0096375F"/>
    <w:rsid w:val="009648BC"/>
    <w:rsid w:val="00966BE0"/>
    <w:rsid w:val="00967808"/>
    <w:rsid w:val="0097072A"/>
    <w:rsid w:val="009727C4"/>
    <w:rsid w:val="00973193"/>
    <w:rsid w:val="00973C65"/>
    <w:rsid w:val="009745AF"/>
    <w:rsid w:val="00975030"/>
    <w:rsid w:val="009808DE"/>
    <w:rsid w:val="0098274F"/>
    <w:rsid w:val="0098347B"/>
    <w:rsid w:val="00983777"/>
    <w:rsid w:val="00990599"/>
    <w:rsid w:val="00997CCD"/>
    <w:rsid w:val="009A18AE"/>
    <w:rsid w:val="009A2999"/>
    <w:rsid w:val="009A4822"/>
    <w:rsid w:val="009A5107"/>
    <w:rsid w:val="009A5E95"/>
    <w:rsid w:val="009A7165"/>
    <w:rsid w:val="009B2476"/>
    <w:rsid w:val="009B2D84"/>
    <w:rsid w:val="009B786D"/>
    <w:rsid w:val="009C1A46"/>
    <w:rsid w:val="009C2D5A"/>
    <w:rsid w:val="009C4C54"/>
    <w:rsid w:val="009C6B21"/>
    <w:rsid w:val="009D08C6"/>
    <w:rsid w:val="009D37C5"/>
    <w:rsid w:val="009D4470"/>
    <w:rsid w:val="009D4A3C"/>
    <w:rsid w:val="009D5D12"/>
    <w:rsid w:val="009E2304"/>
    <w:rsid w:val="009E4BE4"/>
    <w:rsid w:val="009E59F0"/>
    <w:rsid w:val="009E5A9D"/>
    <w:rsid w:val="009F1E0B"/>
    <w:rsid w:val="009F3082"/>
    <w:rsid w:val="009F3A25"/>
    <w:rsid w:val="009F4372"/>
    <w:rsid w:val="009F4520"/>
    <w:rsid w:val="009F45BD"/>
    <w:rsid w:val="009F4DC3"/>
    <w:rsid w:val="009F6940"/>
    <w:rsid w:val="009F6BB4"/>
    <w:rsid w:val="009F706B"/>
    <w:rsid w:val="00A02C2C"/>
    <w:rsid w:val="00A042D2"/>
    <w:rsid w:val="00A05F02"/>
    <w:rsid w:val="00A06AD9"/>
    <w:rsid w:val="00A0769B"/>
    <w:rsid w:val="00A07B52"/>
    <w:rsid w:val="00A07BB3"/>
    <w:rsid w:val="00A1008F"/>
    <w:rsid w:val="00A10174"/>
    <w:rsid w:val="00A10427"/>
    <w:rsid w:val="00A1109D"/>
    <w:rsid w:val="00A13412"/>
    <w:rsid w:val="00A1570A"/>
    <w:rsid w:val="00A240D3"/>
    <w:rsid w:val="00A262D4"/>
    <w:rsid w:val="00A27CBA"/>
    <w:rsid w:val="00A30177"/>
    <w:rsid w:val="00A3106A"/>
    <w:rsid w:val="00A310F5"/>
    <w:rsid w:val="00A323BB"/>
    <w:rsid w:val="00A34DBA"/>
    <w:rsid w:val="00A36F4C"/>
    <w:rsid w:val="00A37866"/>
    <w:rsid w:val="00A37F8F"/>
    <w:rsid w:val="00A4172B"/>
    <w:rsid w:val="00A45662"/>
    <w:rsid w:val="00A4586A"/>
    <w:rsid w:val="00A463AC"/>
    <w:rsid w:val="00A506E5"/>
    <w:rsid w:val="00A50720"/>
    <w:rsid w:val="00A51FC4"/>
    <w:rsid w:val="00A53819"/>
    <w:rsid w:val="00A55182"/>
    <w:rsid w:val="00A55352"/>
    <w:rsid w:val="00A61789"/>
    <w:rsid w:val="00A61B30"/>
    <w:rsid w:val="00A6465D"/>
    <w:rsid w:val="00A65DFF"/>
    <w:rsid w:val="00A70892"/>
    <w:rsid w:val="00A72CFD"/>
    <w:rsid w:val="00A7373C"/>
    <w:rsid w:val="00A753D4"/>
    <w:rsid w:val="00A75CA4"/>
    <w:rsid w:val="00A768F1"/>
    <w:rsid w:val="00A772FC"/>
    <w:rsid w:val="00A77528"/>
    <w:rsid w:val="00A80252"/>
    <w:rsid w:val="00A80681"/>
    <w:rsid w:val="00A80EF6"/>
    <w:rsid w:val="00A8707B"/>
    <w:rsid w:val="00A91310"/>
    <w:rsid w:val="00A93724"/>
    <w:rsid w:val="00A93788"/>
    <w:rsid w:val="00A945D1"/>
    <w:rsid w:val="00A96DB4"/>
    <w:rsid w:val="00A97A74"/>
    <w:rsid w:val="00AA0C0C"/>
    <w:rsid w:val="00AA4009"/>
    <w:rsid w:val="00AA40CE"/>
    <w:rsid w:val="00AA77B1"/>
    <w:rsid w:val="00AA7993"/>
    <w:rsid w:val="00AB04A1"/>
    <w:rsid w:val="00AB1127"/>
    <w:rsid w:val="00AB1566"/>
    <w:rsid w:val="00AB20B5"/>
    <w:rsid w:val="00AB3844"/>
    <w:rsid w:val="00AB644F"/>
    <w:rsid w:val="00AB664C"/>
    <w:rsid w:val="00AC1A24"/>
    <w:rsid w:val="00AC27AF"/>
    <w:rsid w:val="00AC2DBD"/>
    <w:rsid w:val="00AC46F8"/>
    <w:rsid w:val="00AC7405"/>
    <w:rsid w:val="00AD143E"/>
    <w:rsid w:val="00AD18B8"/>
    <w:rsid w:val="00AD4CF0"/>
    <w:rsid w:val="00AD5A36"/>
    <w:rsid w:val="00AD6C6E"/>
    <w:rsid w:val="00AE1905"/>
    <w:rsid w:val="00AE3527"/>
    <w:rsid w:val="00AE6CAB"/>
    <w:rsid w:val="00AE70E8"/>
    <w:rsid w:val="00AF02EA"/>
    <w:rsid w:val="00AF59A0"/>
    <w:rsid w:val="00B00044"/>
    <w:rsid w:val="00B02BA9"/>
    <w:rsid w:val="00B02F37"/>
    <w:rsid w:val="00B0390F"/>
    <w:rsid w:val="00B03C5F"/>
    <w:rsid w:val="00B05894"/>
    <w:rsid w:val="00B07AC6"/>
    <w:rsid w:val="00B11BB4"/>
    <w:rsid w:val="00B1244E"/>
    <w:rsid w:val="00B14DAD"/>
    <w:rsid w:val="00B167D0"/>
    <w:rsid w:val="00B16E5E"/>
    <w:rsid w:val="00B16E9C"/>
    <w:rsid w:val="00B16FF6"/>
    <w:rsid w:val="00B172F5"/>
    <w:rsid w:val="00B177F2"/>
    <w:rsid w:val="00B17BC0"/>
    <w:rsid w:val="00B23EAC"/>
    <w:rsid w:val="00B2423B"/>
    <w:rsid w:val="00B25B11"/>
    <w:rsid w:val="00B31EEA"/>
    <w:rsid w:val="00B362E4"/>
    <w:rsid w:val="00B363CE"/>
    <w:rsid w:val="00B36E59"/>
    <w:rsid w:val="00B42C00"/>
    <w:rsid w:val="00B43D7D"/>
    <w:rsid w:val="00B44333"/>
    <w:rsid w:val="00B47DA1"/>
    <w:rsid w:val="00B53CBB"/>
    <w:rsid w:val="00B54858"/>
    <w:rsid w:val="00B54E04"/>
    <w:rsid w:val="00B54FE9"/>
    <w:rsid w:val="00B577A9"/>
    <w:rsid w:val="00B57B03"/>
    <w:rsid w:val="00B57BE0"/>
    <w:rsid w:val="00B630E0"/>
    <w:rsid w:val="00B63751"/>
    <w:rsid w:val="00B64F68"/>
    <w:rsid w:val="00B66919"/>
    <w:rsid w:val="00B6714C"/>
    <w:rsid w:val="00B704D0"/>
    <w:rsid w:val="00B74EC9"/>
    <w:rsid w:val="00B76490"/>
    <w:rsid w:val="00B810CB"/>
    <w:rsid w:val="00B81859"/>
    <w:rsid w:val="00B82502"/>
    <w:rsid w:val="00B82564"/>
    <w:rsid w:val="00B83049"/>
    <w:rsid w:val="00B830D6"/>
    <w:rsid w:val="00B835B0"/>
    <w:rsid w:val="00B843F5"/>
    <w:rsid w:val="00B85056"/>
    <w:rsid w:val="00B87DED"/>
    <w:rsid w:val="00B91053"/>
    <w:rsid w:val="00B91312"/>
    <w:rsid w:val="00B93552"/>
    <w:rsid w:val="00B9527C"/>
    <w:rsid w:val="00BA1D09"/>
    <w:rsid w:val="00BA1EB2"/>
    <w:rsid w:val="00BA2A22"/>
    <w:rsid w:val="00BA2F82"/>
    <w:rsid w:val="00BA3258"/>
    <w:rsid w:val="00BA504F"/>
    <w:rsid w:val="00BA6191"/>
    <w:rsid w:val="00BA66B0"/>
    <w:rsid w:val="00BA75E5"/>
    <w:rsid w:val="00BA78DB"/>
    <w:rsid w:val="00BB0C8E"/>
    <w:rsid w:val="00BB67F3"/>
    <w:rsid w:val="00BB714D"/>
    <w:rsid w:val="00BC1BBD"/>
    <w:rsid w:val="00BC4C92"/>
    <w:rsid w:val="00BC56CA"/>
    <w:rsid w:val="00BD0CC2"/>
    <w:rsid w:val="00BD2C4B"/>
    <w:rsid w:val="00BD4F56"/>
    <w:rsid w:val="00BE16D1"/>
    <w:rsid w:val="00BE1E8A"/>
    <w:rsid w:val="00BE2660"/>
    <w:rsid w:val="00BE6CF7"/>
    <w:rsid w:val="00BE7B37"/>
    <w:rsid w:val="00BF1B3B"/>
    <w:rsid w:val="00BF1E73"/>
    <w:rsid w:val="00BF3A64"/>
    <w:rsid w:val="00BF3E26"/>
    <w:rsid w:val="00BF6ADA"/>
    <w:rsid w:val="00BF7B3B"/>
    <w:rsid w:val="00C011E3"/>
    <w:rsid w:val="00C0141D"/>
    <w:rsid w:val="00C01580"/>
    <w:rsid w:val="00C020B7"/>
    <w:rsid w:val="00C0302D"/>
    <w:rsid w:val="00C04903"/>
    <w:rsid w:val="00C05AAA"/>
    <w:rsid w:val="00C06C5E"/>
    <w:rsid w:val="00C10B42"/>
    <w:rsid w:val="00C12491"/>
    <w:rsid w:val="00C124BC"/>
    <w:rsid w:val="00C1560D"/>
    <w:rsid w:val="00C1799C"/>
    <w:rsid w:val="00C218BD"/>
    <w:rsid w:val="00C23516"/>
    <w:rsid w:val="00C248DF"/>
    <w:rsid w:val="00C25933"/>
    <w:rsid w:val="00C3170D"/>
    <w:rsid w:val="00C3278D"/>
    <w:rsid w:val="00C34013"/>
    <w:rsid w:val="00C34CA2"/>
    <w:rsid w:val="00C352E4"/>
    <w:rsid w:val="00C35CA0"/>
    <w:rsid w:val="00C364A9"/>
    <w:rsid w:val="00C37EAE"/>
    <w:rsid w:val="00C40D58"/>
    <w:rsid w:val="00C434B4"/>
    <w:rsid w:val="00C435CA"/>
    <w:rsid w:val="00C44393"/>
    <w:rsid w:val="00C469B3"/>
    <w:rsid w:val="00C5050B"/>
    <w:rsid w:val="00C50DAD"/>
    <w:rsid w:val="00C51136"/>
    <w:rsid w:val="00C529B5"/>
    <w:rsid w:val="00C53209"/>
    <w:rsid w:val="00C55FA1"/>
    <w:rsid w:val="00C564D8"/>
    <w:rsid w:val="00C564F1"/>
    <w:rsid w:val="00C56D76"/>
    <w:rsid w:val="00C610B8"/>
    <w:rsid w:val="00C65A07"/>
    <w:rsid w:val="00C65F52"/>
    <w:rsid w:val="00C75380"/>
    <w:rsid w:val="00C7597D"/>
    <w:rsid w:val="00C7694A"/>
    <w:rsid w:val="00C77D52"/>
    <w:rsid w:val="00C8378A"/>
    <w:rsid w:val="00C8655D"/>
    <w:rsid w:val="00C903FB"/>
    <w:rsid w:val="00C92BB1"/>
    <w:rsid w:val="00C934A7"/>
    <w:rsid w:val="00C94B91"/>
    <w:rsid w:val="00C94C19"/>
    <w:rsid w:val="00C96BE5"/>
    <w:rsid w:val="00CA089F"/>
    <w:rsid w:val="00CA3394"/>
    <w:rsid w:val="00CA425A"/>
    <w:rsid w:val="00CA5181"/>
    <w:rsid w:val="00CA59C5"/>
    <w:rsid w:val="00CA70F3"/>
    <w:rsid w:val="00CB1FF0"/>
    <w:rsid w:val="00CB37F3"/>
    <w:rsid w:val="00CB4BD2"/>
    <w:rsid w:val="00CB4C15"/>
    <w:rsid w:val="00CB66D0"/>
    <w:rsid w:val="00CB75C3"/>
    <w:rsid w:val="00CB7B25"/>
    <w:rsid w:val="00CC0D25"/>
    <w:rsid w:val="00CC1B91"/>
    <w:rsid w:val="00CC1F6F"/>
    <w:rsid w:val="00CC24DD"/>
    <w:rsid w:val="00CC3130"/>
    <w:rsid w:val="00CC43CB"/>
    <w:rsid w:val="00CC4571"/>
    <w:rsid w:val="00CD05B9"/>
    <w:rsid w:val="00CD14E8"/>
    <w:rsid w:val="00CD2C67"/>
    <w:rsid w:val="00CD3334"/>
    <w:rsid w:val="00CD42EE"/>
    <w:rsid w:val="00CD5E15"/>
    <w:rsid w:val="00CE5EE0"/>
    <w:rsid w:val="00CE7614"/>
    <w:rsid w:val="00CE7C54"/>
    <w:rsid w:val="00CF1EC0"/>
    <w:rsid w:val="00CF1F8F"/>
    <w:rsid w:val="00CF22B6"/>
    <w:rsid w:val="00CF718B"/>
    <w:rsid w:val="00D016CE"/>
    <w:rsid w:val="00D01C2A"/>
    <w:rsid w:val="00D066CA"/>
    <w:rsid w:val="00D10B2E"/>
    <w:rsid w:val="00D10D4E"/>
    <w:rsid w:val="00D12AB6"/>
    <w:rsid w:val="00D13160"/>
    <w:rsid w:val="00D132C9"/>
    <w:rsid w:val="00D1453B"/>
    <w:rsid w:val="00D20241"/>
    <w:rsid w:val="00D20305"/>
    <w:rsid w:val="00D20BB0"/>
    <w:rsid w:val="00D22D85"/>
    <w:rsid w:val="00D250D5"/>
    <w:rsid w:val="00D2557D"/>
    <w:rsid w:val="00D262CF"/>
    <w:rsid w:val="00D32C8F"/>
    <w:rsid w:val="00D330A6"/>
    <w:rsid w:val="00D3395C"/>
    <w:rsid w:val="00D350F9"/>
    <w:rsid w:val="00D35623"/>
    <w:rsid w:val="00D41CEB"/>
    <w:rsid w:val="00D426E2"/>
    <w:rsid w:val="00D4387F"/>
    <w:rsid w:val="00D43B61"/>
    <w:rsid w:val="00D43C82"/>
    <w:rsid w:val="00D447CE"/>
    <w:rsid w:val="00D476CB"/>
    <w:rsid w:val="00D4770B"/>
    <w:rsid w:val="00D47824"/>
    <w:rsid w:val="00D47AB4"/>
    <w:rsid w:val="00D47C5D"/>
    <w:rsid w:val="00D50C63"/>
    <w:rsid w:val="00D55D52"/>
    <w:rsid w:val="00D56C24"/>
    <w:rsid w:val="00D6131D"/>
    <w:rsid w:val="00D661E0"/>
    <w:rsid w:val="00D66759"/>
    <w:rsid w:val="00D67A56"/>
    <w:rsid w:val="00D72483"/>
    <w:rsid w:val="00D725CB"/>
    <w:rsid w:val="00D7320E"/>
    <w:rsid w:val="00D7401A"/>
    <w:rsid w:val="00D74B16"/>
    <w:rsid w:val="00D779E0"/>
    <w:rsid w:val="00D77B64"/>
    <w:rsid w:val="00D83E62"/>
    <w:rsid w:val="00D8421A"/>
    <w:rsid w:val="00D9051A"/>
    <w:rsid w:val="00D90AD2"/>
    <w:rsid w:val="00D912AC"/>
    <w:rsid w:val="00D937F5"/>
    <w:rsid w:val="00D9611D"/>
    <w:rsid w:val="00DA0720"/>
    <w:rsid w:val="00DA257C"/>
    <w:rsid w:val="00DA354B"/>
    <w:rsid w:val="00DA5362"/>
    <w:rsid w:val="00DA63ED"/>
    <w:rsid w:val="00DA680C"/>
    <w:rsid w:val="00DA6B4E"/>
    <w:rsid w:val="00DA73BF"/>
    <w:rsid w:val="00DA79B0"/>
    <w:rsid w:val="00DA7B59"/>
    <w:rsid w:val="00DB0A78"/>
    <w:rsid w:val="00DB177A"/>
    <w:rsid w:val="00DB1A38"/>
    <w:rsid w:val="00DB1D26"/>
    <w:rsid w:val="00DB2CBC"/>
    <w:rsid w:val="00DB2CC4"/>
    <w:rsid w:val="00DB4A44"/>
    <w:rsid w:val="00DB5775"/>
    <w:rsid w:val="00DB66CF"/>
    <w:rsid w:val="00DB71F3"/>
    <w:rsid w:val="00DC01F4"/>
    <w:rsid w:val="00DC0866"/>
    <w:rsid w:val="00DC0CBE"/>
    <w:rsid w:val="00DC37CF"/>
    <w:rsid w:val="00DC4753"/>
    <w:rsid w:val="00DC583F"/>
    <w:rsid w:val="00DC5C12"/>
    <w:rsid w:val="00DC660D"/>
    <w:rsid w:val="00DC76DD"/>
    <w:rsid w:val="00DD0055"/>
    <w:rsid w:val="00DD160C"/>
    <w:rsid w:val="00DD2548"/>
    <w:rsid w:val="00DD2F50"/>
    <w:rsid w:val="00DD4B93"/>
    <w:rsid w:val="00DD5C71"/>
    <w:rsid w:val="00DD7D34"/>
    <w:rsid w:val="00DE0AAB"/>
    <w:rsid w:val="00DE1A11"/>
    <w:rsid w:val="00DE2EAE"/>
    <w:rsid w:val="00DF0739"/>
    <w:rsid w:val="00DF087A"/>
    <w:rsid w:val="00DF183C"/>
    <w:rsid w:val="00DF1FBF"/>
    <w:rsid w:val="00DF58E3"/>
    <w:rsid w:val="00DF69E4"/>
    <w:rsid w:val="00E00BB0"/>
    <w:rsid w:val="00E00BF4"/>
    <w:rsid w:val="00E024F8"/>
    <w:rsid w:val="00E04083"/>
    <w:rsid w:val="00E059CF"/>
    <w:rsid w:val="00E105D1"/>
    <w:rsid w:val="00E11A79"/>
    <w:rsid w:val="00E143C1"/>
    <w:rsid w:val="00E16ACC"/>
    <w:rsid w:val="00E23C19"/>
    <w:rsid w:val="00E24A04"/>
    <w:rsid w:val="00E24DEB"/>
    <w:rsid w:val="00E25741"/>
    <w:rsid w:val="00E26B13"/>
    <w:rsid w:val="00E30E19"/>
    <w:rsid w:val="00E33183"/>
    <w:rsid w:val="00E332BB"/>
    <w:rsid w:val="00E34356"/>
    <w:rsid w:val="00E345BE"/>
    <w:rsid w:val="00E34DEF"/>
    <w:rsid w:val="00E36F4B"/>
    <w:rsid w:val="00E40741"/>
    <w:rsid w:val="00E40917"/>
    <w:rsid w:val="00E45749"/>
    <w:rsid w:val="00E459E4"/>
    <w:rsid w:val="00E463E8"/>
    <w:rsid w:val="00E50ABA"/>
    <w:rsid w:val="00E50BE4"/>
    <w:rsid w:val="00E516A9"/>
    <w:rsid w:val="00E55B9B"/>
    <w:rsid w:val="00E57FAB"/>
    <w:rsid w:val="00E60087"/>
    <w:rsid w:val="00E62758"/>
    <w:rsid w:val="00E62764"/>
    <w:rsid w:val="00E632C2"/>
    <w:rsid w:val="00E66A03"/>
    <w:rsid w:val="00E67789"/>
    <w:rsid w:val="00E70BDB"/>
    <w:rsid w:val="00E71BBE"/>
    <w:rsid w:val="00E73B14"/>
    <w:rsid w:val="00E75808"/>
    <w:rsid w:val="00E76A53"/>
    <w:rsid w:val="00E76C73"/>
    <w:rsid w:val="00E7796F"/>
    <w:rsid w:val="00E77EC0"/>
    <w:rsid w:val="00E8042A"/>
    <w:rsid w:val="00E853CB"/>
    <w:rsid w:val="00E85D45"/>
    <w:rsid w:val="00E87306"/>
    <w:rsid w:val="00E87561"/>
    <w:rsid w:val="00E9170C"/>
    <w:rsid w:val="00E93C8D"/>
    <w:rsid w:val="00E93E7F"/>
    <w:rsid w:val="00E9433E"/>
    <w:rsid w:val="00E950C7"/>
    <w:rsid w:val="00EA1511"/>
    <w:rsid w:val="00EA217C"/>
    <w:rsid w:val="00EA22BB"/>
    <w:rsid w:val="00EB0FDB"/>
    <w:rsid w:val="00EB3627"/>
    <w:rsid w:val="00EB6C03"/>
    <w:rsid w:val="00EB6DE2"/>
    <w:rsid w:val="00EB6FA4"/>
    <w:rsid w:val="00EC2D3B"/>
    <w:rsid w:val="00EC4338"/>
    <w:rsid w:val="00EC464A"/>
    <w:rsid w:val="00EC5206"/>
    <w:rsid w:val="00EC6FA2"/>
    <w:rsid w:val="00EC7939"/>
    <w:rsid w:val="00ED0AD9"/>
    <w:rsid w:val="00ED1763"/>
    <w:rsid w:val="00ED26FF"/>
    <w:rsid w:val="00EE25A6"/>
    <w:rsid w:val="00EE2EDD"/>
    <w:rsid w:val="00EE4E03"/>
    <w:rsid w:val="00EE622E"/>
    <w:rsid w:val="00EE7A37"/>
    <w:rsid w:val="00EE7A7B"/>
    <w:rsid w:val="00EE7E74"/>
    <w:rsid w:val="00EF1027"/>
    <w:rsid w:val="00EF1062"/>
    <w:rsid w:val="00EF137C"/>
    <w:rsid w:val="00EF1A84"/>
    <w:rsid w:val="00EF37F3"/>
    <w:rsid w:val="00EF564E"/>
    <w:rsid w:val="00F00098"/>
    <w:rsid w:val="00F00364"/>
    <w:rsid w:val="00F04AF5"/>
    <w:rsid w:val="00F04F1F"/>
    <w:rsid w:val="00F05106"/>
    <w:rsid w:val="00F07874"/>
    <w:rsid w:val="00F07BE1"/>
    <w:rsid w:val="00F07BED"/>
    <w:rsid w:val="00F10428"/>
    <w:rsid w:val="00F16FCA"/>
    <w:rsid w:val="00F202C1"/>
    <w:rsid w:val="00F206A0"/>
    <w:rsid w:val="00F20BAB"/>
    <w:rsid w:val="00F22BA8"/>
    <w:rsid w:val="00F23C01"/>
    <w:rsid w:val="00F24DC6"/>
    <w:rsid w:val="00F3188F"/>
    <w:rsid w:val="00F3210A"/>
    <w:rsid w:val="00F33F63"/>
    <w:rsid w:val="00F459A0"/>
    <w:rsid w:val="00F47401"/>
    <w:rsid w:val="00F50266"/>
    <w:rsid w:val="00F50EAB"/>
    <w:rsid w:val="00F52E9D"/>
    <w:rsid w:val="00F53E91"/>
    <w:rsid w:val="00F54523"/>
    <w:rsid w:val="00F548EE"/>
    <w:rsid w:val="00F55603"/>
    <w:rsid w:val="00F6166B"/>
    <w:rsid w:val="00F6187B"/>
    <w:rsid w:val="00F61ED6"/>
    <w:rsid w:val="00F67B1B"/>
    <w:rsid w:val="00F67EEA"/>
    <w:rsid w:val="00F71976"/>
    <w:rsid w:val="00F71D6E"/>
    <w:rsid w:val="00F7356F"/>
    <w:rsid w:val="00F7467B"/>
    <w:rsid w:val="00F752EC"/>
    <w:rsid w:val="00F76532"/>
    <w:rsid w:val="00F76B5E"/>
    <w:rsid w:val="00F8285A"/>
    <w:rsid w:val="00F8482E"/>
    <w:rsid w:val="00F87DEB"/>
    <w:rsid w:val="00F91AE8"/>
    <w:rsid w:val="00F96128"/>
    <w:rsid w:val="00F96779"/>
    <w:rsid w:val="00F96A9C"/>
    <w:rsid w:val="00F96F34"/>
    <w:rsid w:val="00FA20A0"/>
    <w:rsid w:val="00FA2FD8"/>
    <w:rsid w:val="00FA5A8F"/>
    <w:rsid w:val="00FA68B3"/>
    <w:rsid w:val="00FA6B18"/>
    <w:rsid w:val="00FA7BE8"/>
    <w:rsid w:val="00FB3761"/>
    <w:rsid w:val="00FB4232"/>
    <w:rsid w:val="00FB4504"/>
    <w:rsid w:val="00FB618F"/>
    <w:rsid w:val="00FB709A"/>
    <w:rsid w:val="00FB79AD"/>
    <w:rsid w:val="00FC0D1F"/>
    <w:rsid w:val="00FC2B65"/>
    <w:rsid w:val="00FC30D4"/>
    <w:rsid w:val="00FC480A"/>
    <w:rsid w:val="00FC5B8B"/>
    <w:rsid w:val="00FC5F85"/>
    <w:rsid w:val="00FC659D"/>
    <w:rsid w:val="00FC718C"/>
    <w:rsid w:val="00FC7CF9"/>
    <w:rsid w:val="00FD15D8"/>
    <w:rsid w:val="00FD5849"/>
    <w:rsid w:val="00FE2A58"/>
    <w:rsid w:val="00FE3C43"/>
    <w:rsid w:val="00FE3E1F"/>
    <w:rsid w:val="00FE53EA"/>
    <w:rsid w:val="00FE5FAA"/>
    <w:rsid w:val="00FF2DEB"/>
    <w:rsid w:val="00FF3412"/>
    <w:rsid w:val="00FF3AA0"/>
    <w:rsid w:val="00FF3EB3"/>
    <w:rsid w:val="00FF6233"/>
    <w:rsid w:val="00FF6B88"/>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710D5"/>
  <w15:docId w15:val="{E638038B-3243-4D9D-9C51-2346BAFF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0D5"/>
    <w:pPr>
      <w:spacing w:before="120" w:after="120"/>
    </w:pPr>
    <w:rPr>
      <w:rFonts w:ascii="Arial" w:hAnsi="Arial"/>
      <w:sz w:val="22"/>
      <w:lang w:eastAsia="en-US"/>
    </w:rPr>
  </w:style>
  <w:style w:type="paragraph" w:styleId="Heading1">
    <w:name w:val="heading 1"/>
    <w:basedOn w:val="Heading2"/>
    <w:next w:val="Normal"/>
    <w:qFormat/>
    <w:rsid w:val="00D250D5"/>
    <w:pPr>
      <w:spacing w:after="240"/>
      <w:outlineLvl w:val="0"/>
    </w:pPr>
    <w:rPr>
      <w:caps w:val="0"/>
    </w:rPr>
  </w:style>
  <w:style w:type="paragraph" w:styleId="Heading2">
    <w:name w:val="heading 2"/>
    <w:basedOn w:val="Heading3"/>
    <w:next w:val="Normal"/>
    <w:qFormat/>
    <w:rsid w:val="00D250D5"/>
    <w:pPr>
      <w:pageBreakBefore/>
      <w:spacing w:before="240"/>
      <w:jc w:val="center"/>
      <w:outlineLvl w:val="1"/>
    </w:pPr>
    <w:rPr>
      <w:caps/>
      <w14:shadow w14:blurRad="0" w14:dist="0" w14:dir="0" w14:sx="0" w14:sy="0" w14:kx="0" w14:ky="0" w14:algn="none">
        <w14:srgbClr w14:val="000000"/>
      </w14:shadow>
    </w:rPr>
  </w:style>
  <w:style w:type="paragraph" w:styleId="Heading3">
    <w:name w:val="heading 3"/>
    <w:basedOn w:val="Normal"/>
    <w:next w:val="NormalIndent"/>
    <w:qFormat/>
    <w:rsid w:val="00D250D5"/>
    <w:pPr>
      <w:keepNext/>
      <w:pBdr>
        <w:top w:val="single" w:sz="4" w:space="1" w:color="000080"/>
        <w:left w:val="single" w:sz="4" w:space="4" w:color="000080"/>
        <w:bottom w:val="single" w:sz="4" w:space="1" w:color="000080"/>
        <w:right w:val="single" w:sz="4" w:space="4" w:color="000080"/>
      </w:pBdr>
      <w:shd w:val="clear" w:color="auto" w:fill="99CCFF"/>
      <w:outlineLvl w:val="2"/>
    </w:pPr>
    <w:rPr>
      <w:b/>
      <w:smallCaps/>
      <w:color w:val="000080"/>
      <w:sz w:val="28"/>
      <w14:shadow w14:blurRad="50800" w14:dist="38100" w14:dir="2700000" w14:sx="100000" w14:sy="100000" w14:kx="0" w14:ky="0" w14:algn="tl">
        <w14:srgbClr w14:val="000000">
          <w14:alpha w14:val="60000"/>
        </w14:srgbClr>
      </w14:shadow>
    </w:rPr>
  </w:style>
  <w:style w:type="paragraph" w:styleId="Heading4">
    <w:name w:val="heading 4"/>
    <w:basedOn w:val="Heading3"/>
    <w:next w:val="NormalIndent"/>
    <w:qFormat/>
    <w:rsid w:val="000B7873"/>
    <w:pPr>
      <w:outlineLvl w:val="3"/>
    </w:pPr>
    <w:rPr>
      <w:b w:val="0"/>
      <w:smallCaps w:val="0"/>
      <w:sz w:val="24"/>
      <w14:shadow w14:blurRad="0" w14:dist="0" w14:dir="0" w14:sx="0" w14:sy="0" w14:kx="0" w14:ky="0" w14:algn="none">
        <w14:srgbClr w14:val="000000"/>
      </w14:shadow>
    </w:rPr>
  </w:style>
  <w:style w:type="paragraph" w:styleId="Heading5">
    <w:name w:val="heading 5"/>
    <w:basedOn w:val="Normal"/>
    <w:next w:val="NormalIndent"/>
    <w:qFormat/>
    <w:rsid w:val="00D250D5"/>
    <w:pPr>
      <w:ind w:left="720"/>
      <w:outlineLvl w:val="4"/>
    </w:pPr>
    <w:rPr>
      <w:b/>
    </w:rPr>
  </w:style>
  <w:style w:type="paragraph" w:styleId="Heading6">
    <w:name w:val="heading 6"/>
    <w:basedOn w:val="Normal"/>
    <w:next w:val="NormalIndent"/>
    <w:qFormat/>
    <w:rsid w:val="00D250D5"/>
    <w:pPr>
      <w:ind w:left="720"/>
      <w:outlineLvl w:val="5"/>
    </w:pPr>
    <w:rPr>
      <w:u w:val="single"/>
    </w:rPr>
  </w:style>
  <w:style w:type="paragraph" w:styleId="Heading7">
    <w:name w:val="heading 7"/>
    <w:basedOn w:val="Normal"/>
    <w:next w:val="NormalIndent"/>
    <w:qFormat/>
    <w:rsid w:val="00D250D5"/>
    <w:pPr>
      <w:ind w:left="720"/>
      <w:outlineLvl w:val="6"/>
    </w:pPr>
    <w:rPr>
      <w:i/>
    </w:rPr>
  </w:style>
  <w:style w:type="paragraph" w:styleId="Heading8">
    <w:name w:val="heading 8"/>
    <w:basedOn w:val="Normal"/>
    <w:next w:val="NormalIndent"/>
    <w:qFormat/>
    <w:rsid w:val="00D250D5"/>
    <w:pPr>
      <w:ind w:left="720"/>
      <w:outlineLvl w:val="7"/>
    </w:pPr>
    <w:rPr>
      <w:i/>
    </w:rPr>
  </w:style>
  <w:style w:type="paragraph" w:styleId="Heading9">
    <w:name w:val="heading 9"/>
    <w:basedOn w:val="Normal"/>
    <w:next w:val="NormalIndent"/>
    <w:qFormat/>
    <w:rsid w:val="00D250D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List"/>
    <w:rsid w:val="00D250D5"/>
  </w:style>
  <w:style w:type="paragraph" w:styleId="TOC3">
    <w:name w:val="toc 3"/>
    <w:basedOn w:val="Normal"/>
    <w:next w:val="Normal"/>
    <w:uiPriority w:val="39"/>
    <w:rsid w:val="00D250D5"/>
    <w:pPr>
      <w:spacing w:before="0" w:after="0"/>
      <w:ind w:left="440"/>
    </w:pPr>
    <w:rPr>
      <w:rFonts w:ascii="Times New Roman" w:hAnsi="Times New Roman"/>
      <w:szCs w:val="24"/>
    </w:rPr>
  </w:style>
  <w:style w:type="paragraph" w:styleId="TOC2">
    <w:name w:val="toc 2"/>
    <w:basedOn w:val="Normal"/>
    <w:next w:val="Normal"/>
    <w:uiPriority w:val="39"/>
    <w:rsid w:val="00D250D5"/>
    <w:pPr>
      <w:spacing w:after="0"/>
      <w:ind w:left="220"/>
    </w:pPr>
    <w:rPr>
      <w:rFonts w:ascii="Times New Roman" w:hAnsi="Times New Roman"/>
      <w:b/>
      <w:bCs/>
      <w:szCs w:val="26"/>
    </w:rPr>
  </w:style>
  <w:style w:type="paragraph" w:styleId="TOC1">
    <w:name w:val="toc 1"/>
    <w:basedOn w:val="Normal"/>
    <w:next w:val="Normal"/>
    <w:uiPriority w:val="39"/>
    <w:rsid w:val="00D250D5"/>
    <w:pPr>
      <w:spacing w:after="0"/>
    </w:pPr>
    <w:rPr>
      <w:rFonts w:ascii="Times New Roman" w:hAnsi="Times New Roman"/>
      <w:b/>
      <w:bCs/>
      <w:i/>
      <w:iCs/>
      <w:szCs w:val="28"/>
    </w:rPr>
  </w:style>
  <w:style w:type="paragraph" w:styleId="Index7">
    <w:name w:val="index 7"/>
    <w:basedOn w:val="Normal"/>
    <w:next w:val="Normal"/>
    <w:semiHidden/>
    <w:rsid w:val="00D250D5"/>
    <w:pPr>
      <w:spacing w:before="0" w:after="0"/>
      <w:ind w:left="1540" w:hanging="220"/>
    </w:pPr>
    <w:rPr>
      <w:rFonts w:ascii="Times New Roman" w:hAnsi="Times New Roman"/>
      <w:sz w:val="20"/>
    </w:rPr>
  </w:style>
  <w:style w:type="paragraph" w:styleId="Index6">
    <w:name w:val="index 6"/>
    <w:basedOn w:val="Normal"/>
    <w:next w:val="Normal"/>
    <w:semiHidden/>
    <w:rsid w:val="00D250D5"/>
    <w:pPr>
      <w:spacing w:before="0" w:after="0"/>
      <w:ind w:left="1320" w:hanging="220"/>
    </w:pPr>
    <w:rPr>
      <w:rFonts w:ascii="Times New Roman" w:hAnsi="Times New Roman"/>
      <w:sz w:val="20"/>
    </w:rPr>
  </w:style>
  <w:style w:type="paragraph" w:styleId="Index5">
    <w:name w:val="index 5"/>
    <w:basedOn w:val="Normal"/>
    <w:next w:val="Normal"/>
    <w:semiHidden/>
    <w:rsid w:val="00D250D5"/>
    <w:pPr>
      <w:spacing w:before="0" w:after="0"/>
      <w:ind w:left="1100" w:hanging="220"/>
    </w:pPr>
    <w:rPr>
      <w:rFonts w:ascii="Times New Roman" w:hAnsi="Times New Roman"/>
      <w:sz w:val="20"/>
    </w:rPr>
  </w:style>
  <w:style w:type="paragraph" w:styleId="Index4">
    <w:name w:val="index 4"/>
    <w:basedOn w:val="Normal"/>
    <w:next w:val="Normal"/>
    <w:semiHidden/>
    <w:rsid w:val="00D250D5"/>
    <w:pPr>
      <w:spacing w:before="0" w:after="0"/>
      <w:ind w:left="880" w:hanging="220"/>
    </w:pPr>
    <w:rPr>
      <w:rFonts w:ascii="Times New Roman" w:hAnsi="Times New Roman"/>
      <w:sz w:val="20"/>
    </w:rPr>
  </w:style>
  <w:style w:type="paragraph" w:styleId="Index3">
    <w:name w:val="index 3"/>
    <w:basedOn w:val="Normal"/>
    <w:next w:val="Normal"/>
    <w:semiHidden/>
    <w:rsid w:val="00D250D5"/>
    <w:pPr>
      <w:spacing w:before="0" w:after="0"/>
      <w:ind w:left="660" w:hanging="220"/>
    </w:pPr>
    <w:rPr>
      <w:rFonts w:ascii="Times New Roman" w:hAnsi="Times New Roman"/>
      <w:sz w:val="20"/>
    </w:rPr>
  </w:style>
  <w:style w:type="paragraph" w:styleId="Index2">
    <w:name w:val="index 2"/>
    <w:basedOn w:val="Normal"/>
    <w:next w:val="Normal"/>
    <w:uiPriority w:val="99"/>
    <w:semiHidden/>
    <w:rsid w:val="00606329"/>
    <w:pPr>
      <w:spacing w:before="0" w:after="0"/>
      <w:ind w:left="440" w:hanging="220"/>
    </w:pPr>
    <w:rPr>
      <w:rFonts w:ascii="Times New Roman" w:hAnsi="Times New Roman"/>
      <w:sz w:val="18"/>
    </w:rPr>
  </w:style>
  <w:style w:type="paragraph" w:styleId="Index1">
    <w:name w:val="index 1"/>
    <w:basedOn w:val="Normal"/>
    <w:next w:val="Normal"/>
    <w:uiPriority w:val="99"/>
    <w:semiHidden/>
    <w:rsid w:val="00606329"/>
    <w:pPr>
      <w:spacing w:before="0" w:after="0"/>
      <w:ind w:left="220" w:hanging="220"/>
    </w:pPr>
    <w:rPr>
      <w:rFonts w:ascii="Times New Roman" w:hAnsi="Times New Roman"/>
      <w:sz w:val="18"/>
    </w:rPr>
  </w:style>
  <w:style w:type="character" w:styleId="LineNumber">
    <w:name w:val="line number"/>
    <w:basedOn w:val="DefaultParagraphFont"/>
    <w:rsid w:val="00D250D5"/>
  </w:style>
  <w:style w:type="paragraph" w:styleId="IndexHeading">
    <w:name w:val="index heading"/>
    <w:basedOn w:val="Normal"/>
    <w:next w:val="Index1"/>
    <w:uiPriority w:val="99"/>
    <w:semiHidden/>
    <w:rsid w:val="00474699"/>
    <w:pPr>
      <w:spacing w:before="60" w:after="60"/>
    </w:pPr>
    <w:rPr>
      <w:rFonts w:ascii="Times New Roman" w:hAnsi="Times New Roman"/>
      <w:b/>
      <w:bCs/>
      <w:i/>
      <w:iCs/>
      <w:sz w:val="20"/>
    </w:rPr>
  </w:style>
  <w:style w:type="paragraph" w:styleId="Footer">
    <w:name w:val="footer"/>
    <w:basedOn w:val="Normal"/>
    <w:rsid w:val="00D250D5"/>
    <w:pPr>
      <w:pBdr>
        <w:top w:val="single" w:sz="4" w:space="1" w:color="0000FF"/>
      </w:pBdr>
      <w:tabs>
        <w:tab w:val="center" w:pos="4819"/>
        <w:tab w:val="right" w:pos="9071"/>
      </w:tabs>
      <w:jc w:val="right"/>
    </w:pPr>
    <w:rPr>
      <w:color w:val="0000FF"/>
      <w:sz w:val="18"/>
    </w:rPr>
  </w:style>
  <w:style w:type="paragraph" w:styleId="Header">
    <w:name w:val="header"/>
    <w:basedOn w:val="Heading1"/>
    <w:rsid w:val="00D250D5"/>
    <w:pPr>
      <w:pageBreakBefore w:val="0"/>
      <w:pBdr>
        <w:top w:val="single" w:sz="4" w:space="1" w:color="auto" w:shadow="1"/>
        <w:left w:val="single" w:sz="4" w:space="4" w:color="auto" w:shadow="1"/>
        <w:bottom w:val="single" w:sz="4" w:space="1" w:color="auto" w:shadow="1"/>
        <w:right w:val="single" w:sz="4" w:space="4" w:color="auto" w:shadow="1"/>
      </w:pBdr>
      <w:tabs>
        <w:tab w:val="center" w:pos="4819"/>
        <w:tab w:val="right" w:pos="9071"/>
      </w:tabs>
      <w:spacing w:before="60" w:after="60"/>
    </w:pPr>
    <w:rPr>
      <w:caps/>
    </w:rPr>
  </w:style>
  <w:style w:type="character" w:styleId="FootnoteReference">
    <w:name w:val="footnote reference"/>
    <w:basedOn w:val="DefaultParagraphFont"/>
    <w:semiHidden/>
    <w:rsid w:val="00C364A9"/>
    <w:rPr>
      <w:rFonts w:ascii="Arial" w:hAnsi="Arial"/>
      <w:b/>
      <w:position w:val="0"/>
      <w:sz w:val="20"/>
      <w:vertAlign w:val="superscript"/>
    </w:rPr>
  </w:style>
  <w:style w:type="paragraph" w:styleId="FootnoteText">
    <w:name w:val="footnote text"/>
    <w:basedOn w:val="Normal"/>
    <w:link w:val="FootnoteTextChar"/>
    <w:semiHidden/>
    <w:rsid w:val="00D250D5"/>
    <w:pPr>
      <w:spacing w:before="0" w:after="0"/>
    </w:pPr>
    <w:rPr>
      <w:sz w:val="18"/>
    </w:rPr>
  </w:style>
  <w:style w:type="paragraph" w:styleId="BodyText">
    <w:name w:val="Body Text"/>
    <w:basedOn w:val="Normal"/>
    <w:link w:val="BodyTextChar"/>
    <w:rsid w:val="00D250D5"/>
    <w:pPr>
      <w:spacing w:before="0" w:after="0"/>
    </w:pPr>
  </w:style>
  <w:style w:type="character" w:styleId="Hyperlink">
    <w:name w:val="Hyperlink"/>
    <w:basedOn w:val="DefaultParagraphFont"/>
    <w:uiPriority w:val="99"/>
    <w:rsid w:val="00D250D5"/>
    <w:rPr>
      <w:color w:val="0000FF"/>
      <w:u w:val="single"/>
    </w:rPr>
  </w:style>
  <w:style w:type="character" w:styleId="FollowedHyperlink">
    <w:name w:val="FollowedHyperlink"/>
    <w:basedOn w:val="DefaultParagraphFont"/>
    <w:rsid w:val="00D250D5"/>
    <w:rPr>
      <w:color w:val="800080"/>
      <w:u w:val="single"/>
    </w:rPr>
  </w:style>
  <w:style w:type="paragraph" w:styleId="BodyText2">
    <w:name w:val="Body Text 2"/>
    <w:basedOn w:val="Normal"/>
    <w:rsid w:val="00D250D5"/>
    <w:pPr>
      <w:ind w:left="720" w:hanging="720"/>
      <w:jc w:val="both"/>
    </w:pPr>
    <w:rPr>
      <w:sz w:val="24"/>
    </w:rPr>
  </w:style>
  <w:style w:type="paragraph" w:styleId="BodyText3">
    <w:name w:val="Body Text 3"/>
    <w:basedOn w:val="Normal"/>
    <w:rsid w:val="00D250D5"/>
    <w:pPr>
      <w:ind w:right="396"/>
      <w:jc w:val="both"/>
    </w:pPr>
    <w:rPr>
      <w:sz w:val="24"/>
    </w:rPr>
  </w:style>
  <w:style w:type="paragraph" w:styleId="DocumentMap">
    <w:name w:val="Document Map"/>
    <w:basedOn w:val="Normal"/>
    <w:semiHidden/>
    <w:rsid w:val="00D250D5"/>
    <w:pPr>
      <w:shd w:val="clear" w:color="auto" w:fill="000080"/>
    </w:pPr>
    <w:rPr>
      <w:rFonts w:ascii="Tahoma" w:hAnsi="Tahoma" w:cs="Courier New"/>
    </w:rPr>
  </w:style>
  <w:style w:type="paragraph" w:styleId="List">
    <w:name w:val="List"/>
    <w:basedOn w:val="Normal"/>
    <w:rsid w:val="00D250D5"/>
    <w:pPr>
      <w:ind w:left="283" w:hanging="283"/>
    </w:pPr>
  </w:style>
  <w:style w:type="paragraph" w:styleId="ListNumber">
    <w:name w:val="List Number"/>
    <w:basedOn w:val="BodyText"/>
    <w:link w:val="ListNumberChar"/>
    <w:rsid w:val="00D250D5"/>
    <w:pPr>
      <w:spacing w:before="120" w:after="120"/>
      <w:jc w:val="both"/>
    </w:pPr>
    <w:rPr>
      <w:rFonts w:ascii="Arial (W1)" w:hAnsi="Arial (W1)"/>
      <w:sz w:val="20"/>
    </w:rPr>
  </w:style>
  <w:style w:type="paragraph" w:styleId="ListNumber2">
    <w:name w:val="List Number 2"/>
    <w:basedOn w:val="Normal"/>
    <w:rsid w:val="00D250D5"/>
    <w:pPr>
      <w:numPr>
        <w:numId w:val="1"/>
      </w:numPr>
    </w:pPr>
  </w:style>
  <w:style w:type="paragraph" w:styleId="ListNumber3">
    <w:name w:val="List Number 3"/>
    <w:basedOn w:val="Normal"/>
    <w:rsid w:val="00D250D5"/>
    <w:pPr>
      <w:numPr>
        <w:ilvl w:val="2"/>
        <w:numId w:val="1"/>
      </w:numPr>
    </w:pPr>
  </w:style>
  <w:style w:type="paragraph" w:customStyle="1" w:styleId="Textparagraph">
    <w:name w:val="Text paragraph"/>
    <w:basedOn w:val="Normal"/>
    <w:rsid w:val="00D250D5"/>
    <w:pPr>
      <w:jc w:val="both"/>
    </w:pPr>
    <w:rPr>
      <w:rFonts w:ascii="Times New Roman" w:hAnsi="Times New Roman"/>
      <w:sz w:val="24"/>
    </w:rPr>
  </w:style>
  <w:style w:type="paragraph" w:customStyle="1" w:styleId="TablePrompter">
    <w:name w:val="TablePrompter"/>
    <w:basedOn w:val="Normal"/>
    <w:rsid w:val="00D250D5"/>
    <w:rPr>
      <w:rFonts w:ascii="Times New Roman" w:hAnsi="Times New Roman"/>
      <w:sz w:val="20"/>
    </w:rPr>
  </w:style>
  <w:style w:type="paragraph" w:customStyle="1" w:styleId="BulletBit">
    <w:name w:val="BulletBit"/>
    <w:basedOn w:val="Normal"/>
    <w:rsid w:val="000D2B96"/>
    <w:pPr>
      <w:spacing w:before="0" w:after="60"/>
      <w:ind w:right="720"/>
      <w:jc w:val="both"/>
    </w:pPr>
    <w:rPr>
      <w:rFonts w:ascii="Arial (W1)" w:hAnsi="Arial (W1)"/>
      <w:sz w:val="20"/>
    </w:rPr>
  </w:style>
  <w:style w:type="paragraph" w:customStyle="1" w:styleId="ExtraListNumber">
    <w:name w:val="ExtraListNumber"/>
    <w:basedOn w:val="ListNumber"/>
    <w:rsid w:val="00D250D5"/>
    <w:pPr>
      <w:spacing w:before="0"/>
    </w:pPr>
  </w:style>
  <w:style w:type="character" w:styleId="Strong">
    <w:name w:val="Strong"/>
    <w:basedOn w:val="DefaultParagraphFont"/>
    <w:qFormat/>
    <w:rsid w:val="00D250D5"/>
    <w:rPr>
      <w:b/>
      <w:bCs/>
    </w:rPr>
  </w:style>
  <w:style w:type="paragraph" w:customStyle="1" w:styleId="ScheduleIndent">
    <w:name w:val="ScheduleIndent"/>
    <w:basedOn w:val="Normal"/>
    <w:rsid w:val="00D250D5"/>
    <w:pPr>
      <w:numPr>
        <w:numId w:val="4"/>
      </w:numPr>
    </w:pPr>
  </w:style>
  <w:style w:type="paragraph" w:styleId="TOC4">
    <w:name w:val="toc 4"/>
    <w:basedOn w:val="Normal"/>
    <w:next w:val="Normal"/>
    <w:autoRedefine/>
    <w:semiHidden/>
    <w:rsid w:val="00D250D5"/>
    <w:pPr>
      <w:spacing w:before="0" w:after="0"/>
      <w:ind w:left="660"/>
    </w:pPr>
    <w:rPr>
      <w:rFonts w:ascii="Times New Roman" w:hAnsi="Times New Roman"/>
      <w:szCs w:val="24"/>
    </w:rPr>
  </w:style>
  <w:style w:type="paragraph" w:styleId="TOC5">
    <w:name w:val="toc 5"/>
    <w:basedOn w:val="Normal"/>
    <w:next w:val="Normal"/>
    <w:autoRedefine/>
    <w:semiHidden/>
    <w:rsid w:val="00D250D5"/>
    <w:pPr>
      <w:spacing w:before="0" w:after="0"/>
      <w:ind w:left="880"/>
    </w:pPr>
    <w:rPr>
      <w:rFonts w:ascii="Times New Roman" w:hAnsi="Times New Roman"/>
      <w:szCs w:val="24"/>
    </w:rPr>
  </w:style>
  <w:style w:type="paragraph" w:styleId="TOC6">
    <w:name w:val="toc 6"/>
    <w:basedOn w:val="Normal"/>
    <w:next w:val="Normal"/>
    <w:autoRedefine/>
    <w:semiHidden/>
    <w:rsid w:val="00D250D5"/>
    <w:pPr>
      <w:spacing w:before="0" w:after="0"/>
      <w:ind w:left="1100"/>
    </w:pPr>
    <w:rPr>
      <w:rFonts w:ascii="Times New Roman" w:hAnsi="Times New Roman"/>
      <w:szCs w:val="24"/>
    </w:rPr>
  </w:style>
  <w:style w:type="paragraph" w:styleId="TOC7">
    <w:name w:val="toc 7"/>
    <w:basedOn w:val="Normal"/>
    <w:next w:val="Normal"/>
    <w:autoRedefine/>
    <w:semiHidden/>
    <w:rsid w:val="00D250D5"/>
    <w:pPr>
      <w:spacing w:before="0" w:after="0"/>
      <w:ind w:left="1320"/>
    </w:pPr>
    <w:rPr>
      <w:rFonts w:ascii="Times New Roman" w:hAnsi="Times New Roman"/>
      <w:szCs w:val="24"/>
    </w:rPr>
  </w:style>
  <w:style w:type="paragraph" w:styleId="TOC8">
    <w:name w:val="toc 8"/>
    <w:basedOn w:val="Normal"/>
    <w:next w:val="Normal"/>
    <w:autoRedefine/>
    <w:semiHidden/>
    <w:rsid w:val="00D250D5"/>
    <w:pPr>
      <w:spacing w:before="0" w:after="0"/>
      <w:ind w:left="1540"/>
    </w:pPr>
    <w:rPr>
      <w:rFonts w:ascii="Times New Roman" w:hAnsi="Times New Roman"/>
      <w:szCs w:val="24"/>
    </w:rPr>
  </w:style>
  <w:style w:type="paragraph" w:styleId="TOC9">
    <w:name w:val="toc 9"/>
    <w:basedOn w:val="Normal"/>
    <w:next w:val="Normal"/>
    <w:autoRedefine/>
    <w:semiHidden/>
    <w:rsid w:val="00D250D5"/>
    <w:pPr>
      <w:spacing w:before="0" w:after="0"/>
      <w:ind w:left="1760"/>
    </w:pPr>
    <w:rPr>
      <w:rFonts w:ascii="Times New Roman" w:hAnsi="Times New Roman"/>
      <w:szCs w:val="24"/>
    </w:rPr>
  </w:style>
  <w:style w:type="paragraph" w:styleId="NormalWeb">
    <w:name w:val="Normal (Web)"/>
    <w:basedOn w:val="Normal"/>
    <w:uiPriority w:val="99"/>
    <w:rsid w:val="00D250D5"/>
    <w:pPr>
      <w:spacing w:before="100" w:beforeAutospacing="1" w:after="100" w:afterAutospacing="1"/>
    </w:pPr>
    <w:rPr>
      <w:rFonts w:eastAsia="Arial Unicode MS" w:cs="Arial"/>
      <w:color w:val="000000"/>
      <w:sz w:val="15"/>
      <w:szCs w:val="15"/>
    </w:rPr>
  </w:style>
  <w:style w:type="character" w:styleId="CommentReference">
    <w:name w:val="annotation reference"/>
    <w:basedOn w:val="DefaultParagraphFont"/>
    <w:semiHidden/>
    <w:rsid w:val="00D250D5"/>
    <w:rPr>
      <w:sz w:val="16"/>
      <w:szCs w:val="16"/>
    </w:rPr>
  </w:style>
  <w:style w:type="paragraph" w:styleId="CommentText">
    <w:name w:val="annotation text"/>
    <w:basedOn w:val="Normal"/>
    <w:semiHidden/>
    <w:rsid w:val="00D250D5"/>
    <w:rPr>
      <w:sz w:val="20"/>
    </w:rPr>
  </w:style>
  <w:style w:type="paragraph" w:customStyle="1" w:styleId="NormalText">
    <w:name w:val="NormalText"/>
    <w:basedOn w:val="Normal"/>
    <w:rsid w:val="00D250D5"/>
    <w:pPr>
      <w:spacing w:after="0"/>
      <w:jc w:val="both"/>
    </w:pPr>
    <w:rPr>
      <w:sz w:val="17"/>
    </w:rPr>
  </w:style>
  <w:style w:type="paragraph" w:customStyle="1" w:styleId="FirstIndent">
    <w:name w:val="FirstIndent"/>
    <w:basedOn w:val="Normal"/>
    <w:rsid w:val="00D250D5"/>
    <w:pPr>
      <w:spacing w:after="0"/>
      <w:ind w:left="697"/>
    </w:pPr>
    <w:rPr>
      <w:sz w:val="17"/>
      <w:szCs w:val="24"/>
    </w:rPr>
  </w:style>
  <w:style w:type="paragraph" w:customStyle="1" w:styleId="PaymentsList">
    <w:name w:val="PaymentsList"/>
    <w:basedOn w:val="Normal"/>
    <w:rsid w:val="00D250D5"/>
    <w:pPr>
      <w:tabs>
        <w:tab w:val="center" w:pos="547"/>
        <w:tab w:val="center" w:pos="1080"/>
        <w:tab w:val="center" w:pos="2246"/>
        <w:tab w:val="center" w:pos="3600"/>
        <w:tab w:val="center" w:pos="4867"/>
      </w:tabs>
      <w:spacing w:before="0" w:after="0"/>
    </w:pPr>
    <w:rPr>
      <w:sz w:val="17"/>
    </w:rPr>
  </w:style>
  <w:style w:type="paragraph" w:styleId="Index8">
    <w:name w:val="index 8"/>
    <w:basedOn w:val="Normal"/>
    <w:next w:val="Normal"/>
    <w:autoRedefine/>
    <w:semiHidden/>
    <w:rsid w:val="00D250D5"/>
    <w:pPr>
      <w:spacing w:before="0" w:after="0"/>
      <w:ind w:left="1760" w:hanging="220"/>
    </w:pPr>
    <w:rPr>
      <w:rFonts w:ascii="Times New Roman" w:hAnsi="Times New Roman"/>
      <w:sz w:val="20"/>
    </w:rPr>
  </w:style>
  <w:style w:type="paragraph" w:styleId="Index9">
    <w:name w:val="index 9"/>
    <w:basedOn w:val="Normal"/>
    <w:next w:val="Normal"/>
    <w:autoRedefine/>
    <w:semiHidden/>
    <w:rsid w:val="00D250D5"/>
    <w:pPr>
      <w:spacing w:before="0" w:after="0"/>
      <w:ind w:left="1980" w:hanging="220"/>
    </w:pPr>
    <w:rPr>
      <w:rFonts w:ascii="Times New Roman" w:hAnsi="Times New Roman"/>
      <w:sz w:val="20"/>
    </w:rPr>
  </w:style>
  <w:style w:type="paragraph" w:styleId="BalloonText">
    <w:name w:val="Balloon Text"/>
    <w:basedOn w:val="Normal"/>
    <w:semiHidden/>
    <w:rsid w:val="00D250D5"/>
    <w:rPr>
      <w:rFonts w:ascii="Tahoma" w:hAnsi="Tahoma" w:cs="Tahoma"/>
      <w:sz w:val="16"/>
      <w:szCs w:val="16"/>
    </w:rPr>
  </w:style>
  <w:style w:type="paragraph" w:customStyle="1" w:styleId="IntroPara">
    <w:name w:val="IntroPara"/>
    <w:basedOn w:val="ListNumber"/>
    <w:rsid w:val="00D250D5"/>
    <w:pPr>
      <w:keepNext/>
      <w:keepLines/>
      <w:pBdr>
        <w:top w:val="single" w:sz="4" w:space="1" w:color="000080"/>
        <w:left w:val="single" w:sz="4" w:space="4" w:color="000080"/>
        <w:bottom w:val="single" w:sz="4" w:space="1" w:color="000080"/>
        <w:right w:val="single" w:sz="4" w:space="4" w:color="000080"/>
      </w:pBdr>
      <w:spacing w:before="0"/>
    </w:pPr>
    <w:rPr>
      <w:color w:val="000080"/>
      <w:sz w:val="24"/>
    </w:rPr>
  </w:style>
  <w:style w:type="paragraph" w:customStyle="1" w:styleId="ListNumberExtraBit">
    <w:name w:val="ListNumberExtraBit"/>
    <w:basedOn w:val="ListNumber"/>
    <w:rsid w:val="00D250D5"/>
    <w:pPr>
      <w:spacing w:before="0"/>
    </w:pPr>
  </w:style>
  <w:style w:type="paragraph" w:customStyle="1" w:styleId="AnnexeParas">
    <w:name w:val="AnnexeParas"/>
    <w:basedOn w:val="Normal"/>
    <w:rsid w:val="00D250D5"/>
    <w:pPr>
      <w:numPr>
        <w:numId w:val="5"/>
      </w:numPr>
    </w:pPr>
  </w:style>
  <w:style w:type="paragraph" w:styleId="CommentSubject">
    <w:name w:val="annotation subject"/>
    <w:basedOn w:val="CommentText"/>
    <w:next w:val="CommentText"/>
    <w:semiHidden/>
    <w:rsid w:val="00075530"/>
    <w:rPr>
      <w:b/>
      <w:bCs/>
    </w:rPr>
  </w:style>
  <w:style w:type="paragraph" w:customStyle="1" w:styleId="StyleBodyTextLeft097">
    <w:name w:val="Style Body Text + Left:  0.97&quot;"/>
    <w:basedOn w:val="BodyText"/>
    <w:rsid w:val="00EB6FA4"/>
    <w:pPr>
      <w:ind w:left="1400"/>
    </w:pPr>
    <w:rPr>
      <w:sz w:val="20"/>
    </w:rPr>
  </w:style>
  <w:style w:type="paragraph" w:customStyle="1" w:styleId="Generalguidance">
    <w:name w:val="General guidance"/>
    <w:basedOn w:val="ListNumber"/>
    <w:link w:val="GeneralguidanceChar"/>
    <w:qFormat/>
    <w:rsid w:val="00065D1E"/>
    <w:rPr>
      <w:color w:val="00B050"/>
    </w:rPr>
  </w:style>
  <w:style w:type="paragraph" w:customStyle="1" w:styleId="PaperGuidance">
    <w:name w:val="PaperGuidance"/>
    <w:basedOn w:val="ListNumber"/>
    <w:link w:val="PaperGuidanceChar"/>
    <w:qFormat/>
    <w:rsid w:val="00065D1E"/>
    <w:rPr>
      <w:color w:val="FF0000"/>
    </w:rPr>
  </w:style>
  <w:style w:type="character" w:customStyle="1" w:styleId="BodyTextChar">
    <w:name w:val="Body Text Char"/>
    <w:basedOn w:val="DefaultParagraphFont"/>
    <w:link w:val="BodyText"/>
    <w:rsid w:val="00065D1E"/>
    <w:rPr>
      <w:rFonts w:ascii="Arial" w:hAnsi="Arial"/>
      <w:sz w:val="22"/>
      <w:lang w:eastAsia="en-US"/>
    </w:rPr>
  </w:style>
  <w:style w:type="character" w:customStyle="1" w:styleId="ListNumberChar">
    <w:name w:val="List Number Char"/>
    <w:basedOn w:val="BodyTextChar"/>
    <w:link w:val="ListNumber"/>
    <w:rsid w:val="00065D1E"/>
    <w:rPr>
      <w:rFonts w:ascii="Arial (W1)" w:hAnsi="Arial (W1)"/>
      <w:sz w:val="22"/>
      <w:lang w:eastAsia="en-US"/>
    </w:rPr>
  </w:style>
  <w:style w:type="character" w:customStyle="1" w:styleId="GeneralguidanceChar">
    <w:name w:val="General guidance Char"/>
    <w:basedOn w:val="ListNumberChar"/>
    <w:link w:val="Generalguidance"/>
    <w:rsid w:val="00065D1E"/>
    <w:rPr>
      <w:rFonts w:ascii="Arial (W1)" w:hAnsi="Arial (W1)"/>
      <w:sz w:val="22"/>
      <w:lang w:eastAsia="en-US"/>
    </w:rPr>
  </w:style>
  <w:style w:type="character" w:customStyle="1" w:styleId="PaperGuidanceChar">
    <w:name w:val="PaperGuidance Char"/>
    <w:basedOn w:val="ListNumberChar"/>
    <w:link w:val="PaperGuidance"/>
    <w:rsid w:val="00065D1E"/>
    <w:rPr>
      <w:rFonts w:ascii="Arial (W1)" w:hAnsi="Arial (W1)"/>
      <w:color w:val="FF0000"/>
      <w:sz w:val="22"/>
      <w:lang w:eastAsia="en-US"/>
    </w:rPr>
  </w:style>
  <w:style w:type="paragraph" w:styleId="PlainText">
    <w:name w:val="Plain Text"/>
    <w:basedOn w:val="Normal"/>
    <w:link w:val="PlainTextChar"/>
    <w:uiPriority w:val="99"/>
    <w:unhideWhenUsed/>
    <w:rsid w:val="00764BDF"/>
    <w:pPr>
      <w:spacing w:before="0" w:after="0"/>
    </w:pPr>
    <w:rPr>
      <w:rFonts w:ascii="Courier New" w:hAnsi="Courier New" w:cs="Courier New"/>
      <w:sz w:val="24"/>
      <w:szCs w:val="24"/>
      <w:lang w:eastAsia="en-GB"/>
    </w:rPr>
  </w:style>
  <w:style w:type="character" w:customStyle="1" w:styleId="PlainTextChar">
    <w:name w:val="Plain Text Char"/>
    <w:basedOn w:val="DefaultParagraphFont"/>
    <w:link w:val="PlainText"/>
    <w:uiPriority w:val="99"/>
    <w:rsid w:val="00764BDF"/>
    <w:rPr>
      <w:rFonts w:ascii="Courier New" w:hAnsi="Courier New" w:cs="Courier New"/>
      <w:sz w:val="24"/>
      <w:szCs w:val="24"/>
    </w:rPr>
  </w:style>
  <w:style w:type="paragraph" w:styleId="Revision">
    <w:name w:val="Revision"/>
    <w:hidden/>
    <w:uiPriority w:val="99"/>
    <w:semiHidden/>
    <w:rsid w:val="001D0407"/>
    <w:rPr>
      <w:rFonts w:ascii="Arial" w:hAnsi="Arial"/>
      <w:sz w:val="22"/>
      <w:lang w:eastAsia="en-US"/>
    </w:rPr>
  </w:style>
  <w:style w:type="paragraph" w:styleId="BlockText">
    <w:name w:val="Block Text"/>
    <w:basedOn w:val="Normal"/>
    <w:rsid w:val="00475EF0"/>
    <w:pPr>
      <w:spacing w:before="0" w:after="0"/>
      <w:ind w:left="1440" w:right="-610"/>
    </w:pPr>
    <w:rPr>
      <w:rFonts w:ascii="Times New Roman" w:hAnsi="Times New Roman"/>
      <w:sz w:val="24"/>
    </w:rPr>
  </w:style>
  <w:style w:type="character" w:styleId="Emphasis">
    <w:name w:val="Emphasis"/>
    <w:basedOn w:val="DefaultParagraphFont"/>
    <w:uiPriority w:val="20"/>
    <w:qFormat/>
    <w:rsid w:val="00AE70E8"/>
    <w:rPr>
      <w:b/>
      <w:bCs/>
      <w:i w:val="0"/>
      <w:iCs w:val="0"/>
    </w:rPr>
  </w:style>
  <w:style w:type="paragraph" w:customStyle="1" w:styleId="BulletText">
    <w:name w:val="BulletText"/>
    <w:basedOn w:val="ListNumber"/>
    <w:link w:val="BulletTextChar"/>
    <w:qFormat/>
    <w:rsid w:val="00734C6C"/>
    <w:pPr>
      <w:numPr>
        <w:numId w:val="2"/>
      </w:numPr>
      <w:ind w:left="0" w:firstLine="0"/>
    </w:pPr>
    <w:rPr>
      <w:rFonts w:asciiTheme="majorHAnsi" w:hAnsiTheme="majorHAnsi"/>
      <w:sz w:val="24"/>
      <w:szCs w:val="24"/>
    </w:rPr>
  </w:style>
  <w:style w:type="character" w:customStyle="1" w:styleId="BulletTextChar">
    <w:name w:val="BulletText Char"/>
    <w:basedOn w:val="ListNumberChar"/>
    <w:link w:val="BulletText"/>
    <w:rsid w:val="00734C6C"/>
    <w:rPr>
      <w:rFonts w:asciiTheme="majorHAnsi" w:hAnsiTheme="majorHAnsi"/>
      <w:sz w:val="24"/>
      <w:szCs w:val="24"/>
      <w:lang w:eastAsia="en-US"/>
    </w:rPr>
  </w:style>
  <w:style w:type="character" w:customStyle="1" w:styleId="street-address">
    <w:name w:val="street-address"/>
    <w:basedOn w:val="DefaultParagraphFont"/>
    <w:rsid w:val="003B172B"/>
  </w:style>
  <w:style w:type="character" w:customStyle="1" w:styleId="locality">
    <w:name w:val="locality"/>
    <w:basedOn w:val="DefaultParagraphFont"/>
    <w:rsid w:val="003B172B"/>
  </w:style>
  <w:style w:type="character" w:customStyle="1" w:styleId="postal-code">
    <w:name w:val="postal-code"/>
    <w:basedOn w:val="DefaultParagraphFont"/>
    <w:rsid w:val="003B172B"/>
  </w:style>
  <w:style w:type="character" w:customStyle="1" w:styleId="FootnoteTextChar">
    <w:name w:val="Footnote Text Char"/>
    <w:basedOn w:val="DefaultParagraphFont"/>
    <w:link w:val="FootnoteText"/>
    <w:semiHidden/>
    <w:rsid w:val="00752963"/>
    <w:rPr>
      <w:rFonts w:ascii="Arial" w:hAnsi="Arial"/>
      <w:sz w:val="18"/>
      <w:lang w:eastAsia="en-US"/>
    </w:rPr>
  </w:style>
  <w:style w:type="paragraph" w:styleId="ListParagraph">
    <w:name w:val="List Paragraph"/>
    <w:basedOn w:val="Normal"/>
    <w:uiPriority w:val="34"/>
    <w:qFormat/>
    <w:rsid w:val="001F02C6"/>
    <w:pPr>
      <w:spacing w:before="0" w:after="0"/>
      <w:ind w:left="720"/>
      <w:contextualSpacing/>
    </w:pPr>
    <w:rPr>
      <w:sz w:val="20"/>
      <w:szCs w:val="24"/>
      <w:lang w:eastAsia="en-GB"/>
    </w:rPr>
  </w:style>
  <w:style w:type="paragraph" w:customStyle="1" w:styleId="Default">
    <w:name w:val="Default"/>
    <w:basedOn w:val="Normal"/>
    <w:rsid w:val="004829E2"/>
    <w:pPr>
      <w:autoSpaceDE w:val="0"/>
      <w:autoSpaceDN w:val="0"/>
      <w:spacing w:before="0" w:after="0"/>
    </w:pPr>
    <w:rPr>
      <w:rFonts w:eastAsiaTheme="minorHAnsi"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1766">
      <w:bodyDiv w:val="1"/>
      <w:marLeft w:val="0"/>
      <w:marRight w:val="0"/>
      <w:marTop w:val="0"/>
      <w:marBottom w:val="0"/>
      <w:divBdr>
        <w:top w:val="none" w:sz="0" w:space="0" w:color="auto"/>
        <w:left w:val="none" w:sz="0" w:space="0" w:color="auto"/>
        <w:bottom w:val="none" w:sz="0" w:space="0" w:color="auto"/>
        <w:right w:val="none" w:sz="0" w:space="0" w:color="auto"/>
      </w:divBdr>
    </w:div>
    <w:div w:id="529800329">
      <w:bodyDiv w:val="1"/>
      <w:marLeft w:val="0"/>
      <w:marRight w:val="0"/>
      <w:marTop w:val="0"/>
      <w:marBottom w:val="0"/>
      <w:divBdr>
        <w:top w:val="none" w:sz="0" w:space="0" w:color="auto"/>
        <w:left w:val="none" w:sz="0" w:space="0" w:color="auto"/>
        <w:bottom w:val="none" w:sz="0" w:space="0" w:color="auto"/>
        <w:right w:val="none" w:sz="0" w:space="0" w:color="auto"/>
      </w:divBdr>
      <w:divsChild>
        <w:div w:id="9263718">
          <w:marLeft w:val="0"/>
          <w:marRight w:val="0"/>
          <w:marTop w:val="0"/>
          <w:marBottom w:val="0"/>
          <w:divBdr>
            <w:top w:val="none" w:sz="0" w:space="0" w:color="auto"/>
            <w:left w:val="none" w:sz="0" w:space="0" w:color="auto"/>
            <w:bottom w:val="none" w:sz="0" w:space="0" w:color="auto"/>
            <w:right w:val="none" w:sz="0" w:space="0" w:color="auto"/>
          </w:divBdr>
        </w:div>
      </w:divsChild>
    </w:div>
    <w:div w:id="540555995">
      <w:bodyDiv w:val="1"/>
      <w:marLeft w:val="0"/>
      <w:marRight w:val="0"/>
      <w:marTop w:val="0"/>
      <w:marBottom w:val="0"/>
      <w:divBdr>
        <w:top w:val="none" w:sz="0" w:space="0" w:color="auto"/>
        <w:left w:val="none" w:sz="0" w:space="0" w:color="auto"/>
        <w:bottom w:val="none" w:sz="0" w:space="0" w:color="auto"/>
        <w:right w:val="none" w:sz="0" w:space="0" w:color="auto"/>
      </w:divBdr>
    </w:div>
    <w:div w:id="1002507798">
      <w:bodyDiv w:val="1"/>
      <w:marLeft w:val="0"/>
      <w:marRight w:val="0"/>
      <w:marTop w:val="0"/>
      <w:marBottom w:val="0"/>
      <w:divBdr>
        <w:top w:val="none" w:sz="0" w:space="0" w:color="auto"/>
        <w:left w:val="none" w:sz="0" w:space="0" w:color="auto"/>
        <w:bottom w:val="none" w:sz="0" w:space="0" w:color="auto"/>
        <w:right w:val="none" w:sz="0" w:space="0" w:color="auto"/>
      </w:divBdr>
    </w:div>
    <w:div w:id="1342077766">
      <w:bodyDiv w:val="1"/>
      <w:marLeft w:val="0"/>
      <w:marRight w:val="0"/>
      <w:marTop w:val="0"/>
      <w:marBottom w:val="0"/>
      <w:divBdr>
        <w:top w:val="none" w:sz="0" w:space="0" w:color="auto"/>
        <w:left w:val="none" w:sz="0" w:space="0" w:color="auto"/>
        <w:bottom w:val="none" w:sz="0" w:space="0" w:color="auto"/>
        <w:right w:val="none" w:sz="0" w:space="0" w:color="auto"/>
      </w:divBdr>
      <w:divsChild>
        <w:div w:id="2018724748">
          <w:marLeft w:val="0"/>
          <w:marRight w:val="0"/>
          <w:marTop w:val="0"/>
          <w:marBottom w:val="0"/>
          <w:divBdr>
            <w:top w:val="none" w:sz="0" w:space="0" w:color="auto"/>
            <w:left w:val="none" w:sz="0" w:space="0" w:color="auto"/>
            <w:bottom w:val="none" w:sz="0" w:space="0" w:color="auto"/>
            <w:right w:val="none" w:sz="0" w:space="0" w:color="auto"/>
          </w:divBdr>
        </w:div>
      </w:divsChild>
    </w:div>
    <w:div w:id="1516766641">
      <w:bodyDiv w:val="1"/>
      <w:marLeft w:val="0"/>
      <w:marRight w:val="0"/>
      <w:marTop w:val="0"/>
      <w:marBottom w:val="0"/>
      <w:divBdr>
        <w:top w:val="none" w:sz="0" w:space="0" w:color="auto"/>
        <w:left w:val="none" w:sz="0" w:space="0" w:color="auto"/>
        <w:bottom w:val="none" w:sz="0" w:space="0" w:color="auto"/>
        <w:right w:val="none" w:sz="0" w:space="0" w:color="auto"/>
      </w:divBdr>
    </w:div>
    <w:div w:id="1847591427">
      <w:bodyDiv w:val="1"/>
      <w:marLeft w:val="0"/>
      <w:marRight w:val="0"/>
      <w:marTop w:val="0"/>
      <w:marBottom w:val="0"/>
      <w:divBdr>
        <w:top w:val="none" w:sz="0" w:space="0" w:color="auto"/>
        <w:left w:val="none" w:sz="0" w:space="0" w:color="auto"/>
        <w:bottom w:val="none" w:sz="0" w:space="0" w:color="auto"/>
        <w:right w:val="none" w:sz="0" w:space="0" w:color="auto"/>
      </w:divBdr>
    </w:div>
    <w:div w:id="1914123160">
      <w:bodyDiv w:val="1"/>
      <w:marLeft w:val="0"/>
      <w:marRight w:val="0"/>
      <w:marTop w:val="0"/>
      <w:marBottom w:val="0"/>
      <w:divBdr>
        <w:top w:val="none" w:sz="0" w:space="0" w:color="auto"/>
        <w:left w:val="none" w:sz="0" w:space="0" w:color="auto"/>
        <w:bottom w:val="none" w:sz="0" w:space="0" w:color="auto"/>
        <w:right w:val="none" w:sz="0" w:space="0" w:color="auto"/>
      </w:divBdr>
    </w:div>
    <w:div w:id="1944144077">
      <w:bodyDiv w:val="1"/>
      <w:marLeft w:val="0"/>
      <w:marRight w:val="0"/>
      <w:marTop w:val="0"/>
      <w:marBottom w:val="0"/>
      <w:divBdr>
        <w:top w:val="none" w:sz="0" w:space="0" w:color="auto"/>
        <w:left w:val="none" w:sz="0" w:space="0" w:color="auto"/>
        <w:bottom w:val="none" w:sz="0" w:space="0" w:color="auto"/>
        <w:right w:val="none" w:sz="0" w:space="0" w:color="auto"/>
      </w:divBdr>
    </w:div>
    <w:div w:id="2104720407">
      <w:bodyDiv w:val="1"/>
      <w:marLeft w:val="0"/>
      <w:marRight w:val="0"/>
      <w:marTop w:val="0"/>
      <w:marBottom w:val="0"/>
      <w:divBdr>
        <w:top w:val="none" w:sz="0" w:space="0" w:color="auto"/>
        <w:left w:val="none" w:sz="0" w:space="0" w:color="auto"/>
        <w:bottom w:val="none" w:sz="0" w:space="0" w:color="auto"/>
        <w:right w:val="none" w:sz="0" w:space="0" w:color="auto"/>
      </w:divBdr>
    </w:div>
    <w:div w:id="2124568850">
      <w:bodyDiv w:val="1"/>
      <w:marLeft w:val="0"/>
      <w:marRight w:val="0"/>
      <w:marTop w:val="0"/>
      <w:marBottom w:val="0"/>
      <w:divBdr>
        <w:top w:val="none" w:sz="0" w:space="0" w:color="auto"/>
        <w:left w:val="none" w:sz="0" w:space="0" w:color="auto"/>
        <w:bottom w:val="none" w:sz="0" w:space="0" w:color="auto"/>
        <w:right w:val="none" w:sz="0" w:space="0" w:color="auto"/>
      </w:divBdr>
    </w:div>
    <w:div w:id="214508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tini.gov.uk/" TargetMode="External"/><Relationship Id="rId18" Type="http://schemas.openxmlformats.org/officeDocument/2006/relationships/hyperlink" Target="http://www.og.dti.gov.uk/upstream/licensing/licsuit.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apturing-the-energy.org.uk/" TargetMode="External"/><Relationship Id="rId7" Type="http://schemas.openxmlformats.org/officeDocument/2006/relationships/styles" Target="styles.xml"/><Relationship Id="rId12" Type="http://schemas.openxmlformats.org/officeDocument/2006/relationships/hyperlink" Target="https://www.ogauthority.co.uk/licensing-consents/licensing-rounds/" TargetMode="External"/><Relationship Id="rId17" Type="http://schemas.openxmlformats.org/officeDocument/2006/relationships/hyperlink" Target="http://www.og.dti.gov.uk/upstream/licensing/lictype.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psi.gov.uk/si/si2008/uksi_20080225_en_1" TargetMode="External"/><Relationship Id="rId20" Type="http://schemas.openxmlformats.org/officeDocument/2006/relationships/hyperlink" Target="http://www.og.dti.gov.uk/upstream/licensing/22_12_rnds/index.htm" TargetMode="External"/><Relationship Id="rId29" Type="http://schemas.openxmlformats.org/officeDocument/2006/relationships/hyperlink" Target="mailto:jen.brzozowska@ogauthority.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gauthority.co.uk/licensing-consents/licensing-rounds/" TargetMode="External"/><Relationship Id="rId23" Type="http://schemas.openxmlformats.org/officeDocument/2006/relationships/header" Target="header1.xml"/><Relationship Id="rId28" Type="http://schemas.openxmlformats.org/officeDocument/2006/relationships/hyperlink" Target="mailto:toni.harvey@ogauthority.co.uk" TargetMode="External"/><Relationship Id="rId10" Type="http://schemas.openxmlformats.org/officeDocument/2006/relationships/footnotes" Target="footnotes.xml"/><Relationship Id="rId19" Type="http://schemas.openxmlformats.org/officeDocument/2006/relationships/hyperlink" Target="http://www.opsi.gov.uk/acts/acts1998/19980017.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mso.gov.uk/acts/acts1998/19980017.htm" TargetMode="External"/><Relationship Id="rId22" Type="http://schemas.openxmlformats.org/officeDocument/2006/relationships/hyperlink" Target="mailto:info@capturing-the-energy-org.uk" TargetMode="External"/><Relationship Id="rId27" Type="http://schemas.openxmlformats.org/officeDocument/2006/relationships/hyperlink" Target="mailto:nicholas.rogers@ogauthority.co.uk" TargetMode="External"/><Relationship Id="rId30" Type="http://schemas.openxmlformats.org/officeDocument/2006/relationships/hyperlink" Target="mailto:ricki.kiff@ogauthority.co.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se.gov.uk/osdr/guidance/index.htm" TargetMode="External"/><Relationship Id="rId13" Type="http://schemas.openxmlformats.org/officeDocument/2006/relationships/hyperlink" Target="https://www.gov.uk/oil-and-gas-licensing-rounds" TargetMode="External"/><Relationship Id="rId18" Type="http://schemas.openxmlformats.org/officeDocument/2006/relationships/hyperlink" Target="https://www.ogauthority.co.uk/licensing-consents/licensing-system/licensee-criteria/" TargetMode="External"/><Relationship Id="rId3" Type="http://schemas.openxmlformats.org/officeDocument/2006/relationships/hyperlink" Target="https://www.ogauthority.co.uk/licensing-consents/licensing-rounds/" TargetMode="External"/><Relationship Id="rId21" Type="http://schemas.openxmlformats.org/officeDocument/2006/relationships/hyperlink" Target="https://www.ogauthority.co.uk/news-publications/publications/2016/maximising-economic-recovery-of-uk-petroleum-the-mer-uk-strategy/" TargetMode="External"/><Relationship Id="rId7" Type="http://schemas.openxmlformats.org/officeDocument/2006/relationships/hyperlink" Target="http://www.hse.gov.uk/osdr/" TargetMode="External"/><Relationship Id="rId12" Type="http://schemas.openxmlformats.org/officeDocument/2006/relationships/hyperlink" Target="https://www.ogauthority.co.uk/licensing-consents/offshore-licences/" TargetMode="External"/><Relationship Id="rId17" Type="http://schemas.openxmlformats.org/officeDocument/2006/relationships/hyperlink" Target="https://www.ogauthority.co.uk/licensing-consents/licensing-system/licensee-criteria/" TargetMode="External"/><Relationship Id="rId2" Type="http://schemas.openxmlformats.org/officeDocument/2006/relationships/hyperlink" Target="https://www.ogauthority.co.uk/licensing-consents/licensing-rounds/" TargetMode="External"/><Relationship Id="rId16" Type="http://schemas.openxmlformats.org/officeDocument/2006/relationships/hyperlink" Target="http://www.hse.gov.uk/osdr/" TargetMode="External"/><Relationship Id="rId20" Type="http://schemas.openxmlformats.org/officeDocument/2006/relationships/hyperlink" Target="https://www.ogauthority.co.uk/licensing-consents/licensing-system/payment-of-licence-rentals/" TargetMode="External"/><Relationship Id="rId1" Type="http://schemas.openxmlformats.org/officeDocument/2006/relationships/hyperlink" Target="http://www.legislation.gov.uk/ukpga/1998/17/contents" TargetMode="External"/><Relationship Id="rId6" Type="http://schemas.openxmlformats.org/officeDocument/2006/relationships/hyperlink" Target="http://www.legislation.gov.uk/uksi/2015/385/contents/made" TargetMode="External"/><Relationship Id="rId11" Type="http://schemas.openxmlformats.org/officeDocument/2006/relationships/hyperlink" Target="http://www.legislation.gov.uk/uksi/2008/225/contents/made" TargetMode="External"/><Relationship Id="rId5" Type="http://schemas.openxmlformats.org/officeDocument/2006/relationships/hyperlink" Target="http://www.legislation.gov.uk/uksi/2015/766/contents/made" TargetMode="External"/><Relationship Id="rId15" Type="http://schemas.openxmlformats.org/officeDocument/2006/relationships/hyperlink" Target="https://www.gov.uk/oil-and-gas-licensing-rounds" TargetMode="External"/><Relationship Id="rId23" Type="http://schemas.openxmlformats.org/officeDocument/2006/relationships/hyperlink" Target="https://www.ogauthority.co.uk/news-publications/consultations/2017/proposed-regulations-for-the-retention-and-disclosure-of-information-and-samples/" TargetMode="External"/><Relationship Id="rId10" Type="http://schemas.openxmlformats.org/officeDocument/2006/relationships/hyperlink" Target="http://www.legislation.gov.uk/uksi/2014/1686/contents/made" TargetMode="External"/><Relationship Id="rId19" Type="http://schemas.openxmlformats.org/officeDocument/2006/relationships/hyperlink" Target="https://www.gov.uk/oil-and-gas-licensing-rounds" TargetMode="External"/><Relationship Id="rId4" Type="http://schemas.openxmlformats.org/officeDocument/2006/relationships/hyperlink" Target="http://www.legislation.gov.uk/uksi/1995/1434/contents/made" TargetMode="External"/><Relationship Id="rId9" Type="http://schemas.openxmlformats.org/officeDocument/2006/relationships/hyperlink" Target="https://www.gov.uk/oil-and-gas-licensing-rounds" TargetMode="External"/><Relationship Id="rId14" Type="http://schemas.openxmlformats.org/officeDocument/2006/relationships/hyperlink" Target="https://www.gov.uk/oil-and-gas-licensing-rounds" TargetMode="External"/><Relationship Id="rId22" Type="http://schemas.openxmlformats.org/officeDocument/2006/relationships/hyperlink" Target="https://www.ogauthority.co.uk/data-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esentation" ma:contentTypeID="0x010100683CF72336028945B5410044B3C703BB0100C7E802F149A6FB41BF7081D7B0BF0CC7" ma:contentTypeVersion="17" ma:contentTypeDescription="Create a new document." ma:contentTypeScope="" ma:versionID="e785ccffe497d5de6e9371e68e13e4f2">
  <xsd:schema xmlns:xsd="http://www.w3.org/2001/XMLSchema" xmlns:xs="http://www.w3.org/2001/XMLSchema" xmlns:p="http://schemas.microsoft.com/office/2006/metadata/properties" xmlns:ns2="7b82e486-a350-4b72-b8f3-2640bf6a8994" targetNamespace="http://schemas.microsoft.com/office/2006/metadata/properties" ma:root="true" ma:fieldsID="12a13453c1eab3a97bb36a65fbaa6bb7" ns2:_="">
    <xsd:import namespace="7b82e486-a350-4b72-b8f3-2640bf6a8994"/>
    <xsd:element name="properties">
      <xsd:complexType>
        <xsd:sequence>
          <xsd:element name="documentManagement">
            <xsd:complexType>
              <xsd:all>
                <xsd:element ref="ns2:Folder_x0020_ID" minOccurs="0"/>
                <xsd:element ref="ns2:Case_x0020_Reference_x0020_Number" minOccurs="0"/>
                <xsd:element ref="ns2:Request_x0020_Type" minOccurs="0"/>
                <xsd:element ref="ns2:MP" minOccurs="0"/>
                <xsd:element ref="ns2:Minister" minOccurs="0"/>
                <xsd:element ref="ns2:Linked_x0020_Documents" minOccurs="0"/>
                <xsd:element ref="ns2:Location_x0020_Of_x0020_Original_x0020_Source_x0020_Document" minOccurs="0"/>
                <xsd:element ref="ns2:Document_x0020_Notes" minOccurs="0"/>
                <xsd:element ref="ns2:Folder_x0020_Number" minOccurs="0"/>
                <xsd:element ref="ns2:Original_x0020_Doc_x0020_ID" minOccurs="0"/>
                <xsd:element ref="ns2:Document_x0020_Security_x0020_Classifi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Folder_x0020_ID" ma:index="2" nillable="true" ma:displayName="Folder ID" ma:description="" ma:internalName="Folder_x0020_ID">
      <xsd:simpleType>
        <xsd:restriction base="dms:Text">
          <xsd:maxLength value="255"/>
        </xsd:restriction>
      </xsd:simpleType>
    </xsd:element>
    <xsd:element name="Case_x0020_Reference_x0020_Number" ma:index="3" nillable="true" ma:displayName="Case Reference Number" ma:description="" ma:internalName="Case_x0020_Reference_x0020_Number">
      <xsd:simpleType>
        <xsd:restriction base="dms:Text">
          <xsd:maxLength value="255"/>
        </xsd:restriction>
      </xsd:simpleType>
    </xsd:element>
    <xsd:element name="Request_x0020_Type" ma:index="4" nillable="true" ma:displayName="Request Type" ma:description="Please select the request type." ma:internalName="Request_x0020_Type">
      <xsd:simpleType>
        <xsd:restriction base="dms:Choice">
          <xsd:enumeration value="FOI"/>
          <xsd:enumeration value="EIR"/>
          <xsd:enumeration value="PQ"/>
          <xsd:enumeration value="MC"/>
        </xsd:restriction>
      </xsd:simpleType>
    </xsd:element>
    <xsd:element name="MP" ma:index="5" nillable="true" ma:displayName="MP" ma:description="" ma:internalName="MP">
      <xsd:simpleType>
        <xsd:restriction base="dms:Text">
          <xsd:maxLength value="255"/>
        </xsd:restriction>
      </xsd:simpleType>
    </xsd:element>
    <xsd:element name="Minister" ma:index="6" nillable="true" ma:displayName="Minister" ma:description="Ministers Name" ma:internalName="Minister">
      <xsd:simpleType>
        <xsd:restriction base="dms:Text">
          <xsd:maxLength value="255"/>
        </xsd:restriction>
      </xsd:simpleType>
    </xsd:element>
    <xsd:element name="Linked_x0020_Documents" ma:index="7" nillable="true" ma:displayName="Linked Documents" ma:description="Documents linked to this item" ma:internalName="Linked_x0020_Documents">
      <xsd:simpleType>
        <xsd:restriction base="dms:Note">
          <xsd:maxLength value="255"/>
        </xsd:restriction>
      </xsd:simpleType>
    </xsd:element>
    <xsd:element name="Location_x0020_Of_x0020_Original_x0020_Source_x0020_Document" ma:index="8"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Document_x0020_Notes" ma:index="9" nillable="true" ma:displayName="Document Notes" ma:description="Notes field for the item" ma:internalName="Document_x0020_Notes">
      <xsd:simpleType>
        <xsd:restriction base="dms:Note">
          <xsd:maxLength value="255"/>
        </xsd:restriction>
      </xsd:simpleType>
    </xsd:element>
    <xsd:element name="Folder_x0020_Number" ma:index="10" nillable="true" ma:displayName="Folder Number" ma:description="" ma:internalName="Folder_x0020_Number">
      <xsd:simpleType>
        <xsd:restriction base="dms:Text">
          <xsd:maxLength value="255"/>
        </xsd:restriction>
      </xsd:simpleType>
    </xsd:element>
    <xsd:element name="Original_x0020_Doc_x0020_ID" ma:index="11" nillable="true" ma:displayName="Original Doc ID" ma:description="" ma:internalName="Original_x0020_Doc_x0020_ID">
      <xsd:simpleType>
        <xsd:restriction base="dms:Text">
          <xsd:maxLength value="255"/>
        </xsd:restriction>
      </xsd:simpleType>
    </xsd:element>
    <xsd:element name="Document_x0020_Security_x0020_Classification" ma:index="12" nillable="true" ma:displayName="Document Security Classification" ma:default="Official" ma:description="Please select the security classification." ma:internalName="Document_x0020_Security_x0020_Classification">
      <xsd:simpleType>
        <xsd:restriction base="dms:Choice">
          <xsd:enumeration value="Official"/>
          <xsd:enumeration value="Official Sensitive"/>
          <xsd:enumeration value="Official Sensitive Personal"/>
          <xsd:enumeration value="Official Sensitive Commercial"/>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Notes xmlns="7b82e486-a350-4b72-b8f3-2640bf6a8994" xsi:nil="true"/>
    <Folder_x0020_Number xmlns="7b82e486-a350-4b72-b8f3-2640bf6a8994" xsi:nil="true"/>
    <Location_x0020_Of_x0020_Original_x0020_Source_x0020_Document xmlns="7b82e486-a350-4b72-b8f3-2640bf6a8994" xsi:nil="true"/>
    <Linked_x0020_Documents xmlns="7b82e486-a350-4b72-b8f3-2640bf6a8994" xsi:nil="true"/>
    <Original_x0020_Doc_x0020_ID xmlns="7b82e486-a350-4b72-b8f3-2640bf6a8994">DECCOGA-63-24584</Original_x0020_Doc_x0020_ID>
    <Minister xmlns="7b82e486-a350-4b72-b8f3-2640bf6a8994" xsi:nil="true"/>
    <Case_x0020_Reference_x0020_Number xmlns="7b82e486-a350-4b72-b8f3-2640bf6a8994" xsi:nil="true"/>
    <Request_x0020_Type xmlns="7b82e486-a350-4b72-b8f3-2640bf6a8994" xsi:nil="true"/>
    <Document_x0020_Security_x0020_Classification xmlns="7b82e486-a350-4b72-b8f3-2640bf6a8994">Official</Document_x0020_Security_x0020_Classification>
    <Folder_x0020_ID xmlns="7b82e486-a350-4b72-b8f3-2640bf6a8994" xsi:nil="true"/>
    <MP xmlns="7b82e486-a350-4b72-b8f3-2640bf6a8994" xsi:nil="true"/>
    <_dlc_DocIdUrl xmlns="7b82e486-a350-4b72-b8f3-2640bf6a8994">
      <Url>https://ogauthority.sharepoint.com/sites/ecm/LZU/_layouts/15/DocIdRedir.aspx?ID=OGAUTH-1779127509-35260</Url>
      <Description>OGAUTH-1779127509-35260</Description>
    </_dlc_DocIdUrl>
    <_dlc_DocId xmlns="7b82e486-a350-4b72-b8f3-2640bf6a8994">OGAUTH-1779127509-35260</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18CF-50D4-47FC-85E9-D26CDE55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17B1A-CF37-40D4-A544-BEFE5A6EA251}">
  <ds:schemaRefs>
    <ds:schemaRef ds:uri="http://purl.org/dc/terms/"/>
    <ds:schemaRef ds:uri="http://schemas.openxmlformats.org/package/2006/metadata/core-properties"/>
    <ds:schemaRef ds:uri="http://schemas.microsoft.com/office/2006/documentManagement/types"/>
    <ds:schemaRef ds:uri="http://purl.org/dc/dcmitype/"/>
    <ds:schemaRef ds:uri="7b82e486-a350-4b72-b8f3-2640bf6a899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C320850-DAD0-47D0-A324-7591C29752E4}">
  <ds:schemaRefs>
    <ds:schemaRef ds:uri="http://schemas.microsoft.com/sharepoint/v3/contenttype/forms"/>
  </ds:schemaRefs>
</ds:datastoreItem>
</file>

<file path=customXml/itemProps4.xml><?xml version="1.0" encoding="utf-8"?>
<ds:datastoreItem xmlns:ds="http://schemas.openxmlformats.org/officeDocument/2006/customXml" ds:itemID="{8688FE24-F131-4FFF-92C1-27AC47931185}">
  <ds:schemaRefs>
    <ds:schemaRef ds:uri="http://schemas.microsoft.com/sharepoint/events"/>
  </ds:schemaRefs>
</ds:datastoreItem>
</file>

<file path=customXml/itemProps5.xml><?xml version="1.0" encoding="utf-8"?>
<ds:datastoreItem xmlns:ds="http://schemas.openxmlformats.org/officeDocument/2006/customXml" ds:itemID="{3899F724-777E-49C2-A806-A580D1E1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5504</Words>
  <Characters>31354</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GUIDANCE NOTES FOR APPLICANTS ON THE PRESENTATION OF INFORMATION TO SUPPORT AN APPLICATION</vt:lpstr>
    </vt:vector>
  </TitlesOfParts>
  <Company>UNITAS</Company>
  <LinksUpToDate>false</LinksUpToDate>
  <CharactersWithSpaces>36785</CharactersWithSpaces>
  <SharedDoc>false</SharedDoc>
  <HLinks>
    <vt:vector size="1002" baseType="variant">
      <vt:variant>
        <vt:i4>3866716</vt:i4>
      </vt:variant>
      <vt:variant>
        <vt:i4>579</vt:i4>
      </vt:variant>
      <vt:variant>
        <vt:i4>0</vt:i4>
      </vt:variant>
      <vt:variant>
        <vt:i4>5</vt:i4>
      </vt:variant>
      <vt:variant>
        <vt:lpwstr>mailto:ricki.kiff@decc.gsi.gov.uk</vt:lpwstr>
      </vt:variant>
      <vt:variant>
        <vt:lpwstr/>
      </vt:variant>
      <vt:variant>
        <vt:i4>2949131</vt:i4>
      </vt:variant>
      <vt:variant>
        <vt:i4>576</vt:i4>
      </vt:variant>
      <vt:variant>
        <vt:i4>0</vt:i4>
      </vt:variant>
      <vt:variant>
        <vt:i4>5</vt:i4>
      </vt:variant>
      <vt:variant>
        <vt:lpwstr>mailto:EMT@decc.gsi.gov.uk</vt:lpwstr>
      </vt:variant>
      <vt:variant>
        <vt:lpwstr/>
      </vt:variant>
      <vt:variant>
        <vt:i4>3014725</vt:i4>
      </vt:variant>
      <vt:variant>
        <vt:i4>573</vt:i4>
      </vt:variant>
      <vt:variant>
        <vt:i4>0</vt:i4>
      </vt:variant>
      <vt:variant>
        <vt:i4>5</vt:i4>
      </vt:variant>
      <vt:variant>
        <vt:lpwstr>mailto:peter.haile@decc.gsi.gov.uk</vt:lpwstr>
      </vt:variant>
      <vt:variant>
        <vt:lpwstr/>
      </vt:variant>
      <vt:variant>
        <vt:i4>3407956</vt:i4>
      </vt:variant>
      <vt:variant>
        <vt:i4>570</vt:i4>
      </vt:variant>
      <vt:variant>
        <vt:i4>0</vt:i4>
      </vt:variant>
      <vt:variant>
        <vt:i4>5</vt:i4>
      </vt:variant>
      <vt:variant>
        <vt:lpwstr>mailto:jen.brzozowska@decc.gsi.gov.uk</vt:lpwstr>
      </vt:variant>
      <vt:variant>
        <vt:lpwstr/>
      </vt:variant>
      <vt:variant>
        <vt:i4>6684703</vt:i4>
      </vt:variant>
      <vt:variant>
        <vt:i4>567</vt:i4>
      </vt:variant>
      <vt:variant>
        <vt:i4>0</vt:i4>
      </vt:variant>
      <vt:variant>
        <vt:i4>5</vt:i4>
      </vt:variant>
      <vt:variant>
        <vt:lpwstr>mailto:toni.harvey@decc.gsi.gov.uk</vt:lpwstr>
      </vt:variant>
      <vt:variant>
        <vt:lpwstr/>
      </vt:variant>
      <vt:variant>
        <vt:i4>6815775</vt:i4>
      </vt:variant>
      <vt:variant>
        <vt:i4>564</vt:i4>
      </vt:variant>
      <vt:variant>
        <vt:i4>0</vt:i4>
      </vt:variant>
      <vt:variant>
        <vt:i4>5</vt:i4>
      </vt:variant>
      <vt:variant>
        <vt:lpwstr>mailto:nicholas.rogers@decc.gsi.gov.uk</vt:lpwstr>
      </vt:variant>
      <vt:variant>
        <vt:lpwstr/>
      </vt:variant>
      <vt:variant>
        <vt:i4>4653097</vt:i4>
      </vt:variant>
      <vt:variant>
        <vt:i4>561</vt:i4>
      </vt:variant>
      <vt:variant>
        <vt:i4>0</vt:i4>
      </vt:variant>
      <vt:variant>
        <vt:i4>5</vt:i4>
      </vt:variant>
      <vt:variant>
        <vt:lpwstr>mailto:julie.duguid@decc.gsi.gov.uk</vt:lpwstr>
      </vt:variant>
      <vt:variant>
        <vt:lpwstr/>
      </vt:variant>
      <vt:variant>
        <vt:i4>7733338</vt:i4>
      </vt:variant>
      <vt:variant>
        <vt:i4>558</vt:i4>
      </vt:variant>
      <vt:variant>
        <vt:i4>0</vt:i4>
      </vt:variant>
      <vt:variant>
        <vt:i4>5</vt:i4>
      </vt:variant>
      <vt:variant>
        <vt:lpwstr/>
      </vt:variant>
      <vt:variant>
        <vt:lpwstr>_Section_4:_Environmental</vt:lpwstr>
      </vt:variant>
      <vt:variant>
        <vt:i4>7340122</vt:i4>
      </vt:variant>
      <vt:variant>
        <vt:i4>555</vt:i4>
      </vt:variant>
      <vt:variant>
        <vt:i4>0</vt:i4>
      </vt:variant>
      <vt:variant>
        <vt:i4>5</vt:i4>
      </vt:variant>
      <vt:variant>
        <vt:lpwstr/>
      </vt:variant>
      <vt:variant>
        <vt:lpwstr>_Section_2:_Environmental</vt:lpwstr>
      </vt:variant>
      <vt:variant>
        <vt:i4>7340122</vt:i4>
      </vt:variant>
      <vt:variant>
        <vt:i4>552</vt:i4>
      </vt:variant>
      <vt:variant>
        <vt:i4>0</vt:i4>
      </vt:variant>
      <vt:variant>
        <vt:i4>5</vt:i4>
      </vt:variant>
      <vt:variant>
        <vt:lpwstr/>
      </vt:variant>
      <vt:variant>
        <vt:lpwstr>_Section_2:_Environmental</vt:lpwstr>
      </vt:variant>
      <vt:variant>
        <vt:i4>7340122</vt:i4>
      </vt:variant>
      <vt:variant>
        <vt:i4>549</vt:i4>
      </vt:variant>
      <vt:variant>
        <vt:i4>0</vt:i4>
      </vt:variant>
      <vt:variant>
        <vt:i4>5</vt:i4>
      </vt:variant>
      <vt:variant>
        <vt:lpwstr/>
      </vt:variant>
      <vt:variant>
        <vt:lpwstr>_Section_2:_Environmental</vt:lpwstr>
      </vt:variant>
      <vt:variant>
        <vt:i4>6357060</vt:i4>
      </vt:variant>
      <vt:variant>
        <vt:i4>546</vt:i4>
      </vt:variant>
      <vt:variant>
        <vt:i4>0</vt:i4>
      </vt:variant>
      <vt:variant>
        <vt:i4>5</vt:i4>
      </vt:variant>
      <vt:variant>
        <vt:lpwstr/>
      </vt:variant>
      <vt:variant>
        <vt:lpwstr>_Section_1:_Pollution</vt:lpwstr>
      </vt:variant>
      <vt:variant>
        <vt:i4>7733338</vt:i4>
      </vt:variant>
      <vt:variant>
        <vt:i4>543</vt:i4>
      </vt:variant>
      <vt:variant>
        <vt:i4>0</vt:i4>
      </vt:variant>
      <vt:variant>
        <vt:i4>5</vt:i4>
      </vt:variant>
      <vt:variant>
        <vt:lpwstr/>
      </vt:variant>
      <vt:variant>
        <vt:lpwstr>_Section_4:_Environmental</vt:lpwstr>
      </vt:variant>
      <vt:variant>
        <vt:i4>2949131</vt:i4>
      </vt:variant>
      <vt:variant>
        <vt:i4>540</vt:i4>
      </vt:variant>
      <vt:variant>
        <vt:i4>0</vt:i4>
      </vt:variant>
      <vt:variant>
        <vt:i4>5</vt:i4>
      </vt:variant>
      <vt:variant>
        <vt:lpwstr>mailto:EMT@decc.gsi.gov.uk</vt:lpwstr>
      </vt:variant>
      <vt:variant>
        <vt:lpwstr/>
      </vt:variant>
      <vt:variant>
        <vt:i4>7012449</vt:i4>
      </vt:variant>
      <vt:variant>
        <vt:i4>537</vt:i4>
      </vt:variant>
      <vt:variant>
        <vt:i4>0</vt:i4>
      </vt:variant>
      <vt:variant>
        <vt:i4>5</vt:i4>
      </vt:variant>
      <vt:variant>
        <vt:lpwstr>http://www.og.dti.gov.uk/consultations/OnshoreSEAPostConsultationFinal.pdf</vt:lpwstr>
      </vt:variant>
      <vt:variant>
        <vt:lpwstr/>
      </vt:variant>
      <vt:variant>
        <vt:i4>1704033</vt:i4>
      </vt:variant>
      <vt:variant>
        <vt:i4>534</vt:i4>
      </vt:variant>
      <vt:variant>
        <vt:i4>0</vt:i4>
      </vt:variant>
      <vt:variant>
        <vt:i4>5</vt:i4>
      </vt:variant>
      <vt:variant>
        <vt:lpwstr>http://www.og.dti.gov.uk/regulation/legislation/environment/onshore_hydrocarbons/index.htm</vt:lpwstr>
      </vt:variant>
      <vt:variant>
        <vt:lpwstr/>
      </vt:variant>
      <vt:variant>
        <vt:i4>7012449</vt:i4>
      </vt:variant>
      <vt:variant>
        <vt:i4>531</vt:i4>
      </vt:variant>
      <vt:variant>
        <vt:i4>0</vt:i4>
      </vt:variant>
      <vt:variant>
        <vt:i4>5</vt:i4>
      </vt:variant>
      <vt:variant>
        <vt:lpwstr>http://www.og.dti.gov.uk/consultations/OnshoreSEAPostConsultationFinal.pdf</vt:lpwstr>
      </vt:variant>
      <vt:variant>
        <vt:lpwstr/>
      </vt:variant>
      <vt:variant>
        <vt:i4>6684703</vt:i4>
      </vt:variant>
      <vt:variant>
        <vt:i4>528</vt:i4>
      </vt:variant>
      <vt:variant>
        <vt:i4>0</vt:i4>
      </vt:variant>
      <vt:variant>
        <vt:i4>5</vt:i4>
      </vt:variant>
      <vt:variant>
        <vt:lpwstr>mailto:toni.harvey@decc.gsi.gov.uk</vt:lpwstr>
      </vt:variant>
      <vt:variant>
        <vt:lpwstr/>
      </vt:variant>
      <vt:variant>
        <vt:i4>3407956</vt:i4>
      </vt:variant>
      <vt:variant>
        <vt:i4>525</vt:i4>
      </vt:variant>
      <vt:variant>
        <vt:i4>0</vt:i4>
      </vt:variant>
      <vt:variant>
        <vt:i4>5</vt:i4>
      </vt:variant>
      <vt:variant>
        <vt:lpwstr>mailto:jen.brzozowska@decc.gsi.gov.uk</vt:lpwstr>
      </vt:variant>
      <vt:variant>
        <vt:lpwstr/>
      </vt:variant>
      <vt:variant>
        <vt:i4>2687050</vt:i4>
      </vt:variant>
      <vt:variant>
        <vt:i4>522</vt:i4>
      </vt:variant>
      <vt:variant>
        <vt:i4>0</vt:i4>
      </vt:variant>
      <vt:variant>
        <vt:i4>5</vt:i4>
      </vt:variant>
      <vt:variant>
        <vt:lpwstr>http://www.og.dti.gov.uk/regulation/guidance/reg_offshore/app8.htm</vt:lpwstr>
      </vt:variant>
      <vt:variant>
        <vt:lpwstr/>
      </vt:variant>
      <vt:variant>
        <vt:i4>3801157</vt:i4>
      </vt:variant>
      <vt:variant>
        <vt:i4>519</vt:i4>
      </vt:variant>
      <vt:variant>
        <vt:i4>0</vt:i4>
      </vt:variant>
      <vt:variant>
        <vt:i4>5</vt:i4>
      </vt:variant>
      <vt:variant>
        <vt:lpwstr>http://www.og.berr.gov.uk/upstream/licensing/operatorship_onshore.htm</vt:lpwstr>
      </vt:variant>
      <vt:variant>
        <vt:lpwstr/>
      </vt:variant>
      <vt:variant>
        <vt:i4>3407975</vt:i4>
      </vt:variant>
      <vt:variant>
        <vt:i4>516</vt:i4>
      </vt:variant>
      <vt:variant>
        <vt:i4>0</vt:i4>
      </vt:variant>
      <vt:variant>
        <vt:i4>5</vt:i4>
      </vt:variant>
      <vt:variant>
        <vt:lpwstr>http://www.og.berr.gov.uk/upstream/licensing/operatorship_offshore_ex.htm</vt:lpwstr>
      </vt:variant>
      <vt:variant>
        <vt:lpwstr/>
      </vt:variant>
      <vt:variant>
        <vt:i4>2687081</vt:i4>
      </vt:variant>
      <vt:variant>
        <vt:i4>513</vt:i4>
      </vt:variant>
      <vt:variant>
        <vt:i4>0</vt:i4>
      </vt:variant>
      <vt:variant>
        <vt:i4>5</vt:i4>
      </vt:variant>
      <vt:variant>
        <vt:lpwstr>http://www.og.dti.gov.uk/upstream/licensing/lictype.htm</vt:lpwstr>
      </vt:variant>
      <vt:variant>
        <vt:lpwstr/>
      </vt:variant>
      <vt:variant>
        <vt:i4>393242</vt:i4>
      </vt:variant>
      <vt:variant>
        <vt:i4>510</vt:i4>
      </vt:variant>
      <vt:variant>
        <vt:i4>0</vt:i4>
      </vt:variant>
      <vt:variant>
        <vt:i4>5</vt:i4>
      </vt:variant>
      <vt:variant>
        <vt:lpwstr/>
      </vt:variant>
      <vt:variant>
        <vt:lpwstr>ContingentDefinition</vt:lpwstr>
      </vt:variant>
      <vt:variant>
        <vt:i4>6684771</vt:i4>
      </vt:variant>
      <vt:variant>
        <vt:i4>507</vt:i4>
      </vt:variant>
      <vt:variant>
        <vt:i4>0</vt:i4>
      </vt:variant>
      <vt:variant>
        <vt:i4>5</vt:i4>
      </vt:variant>
      <vt:variant>
        <vt:lpwstr/>
      </vt:variant>
      <vt:variant>
        <vt:lpwstr>FirmDefinition</vt:lpwstr>
      </vt:variant>
      <vt:variant>
        <vt:i4>6422639</vt:i4>
      </vt:variant>
      <vt:variant>
        <vt:i4>504</vt:i4>
      </vt:variant>
      <vt:variant>
        <vt:i4>0</vt:i4>
      </vt:variant>
      <vt:variant>
        <vt:i4>5</vt:i4>
      </vt:variant>
      <vt:variant>
        <vt:lpwstr/>
      </vt:variant>
      <vt:variant>
        <vt:lpwstr>DrillDropDefinition</vt:lpwstr>
      </vt:variant>
      <vt:variant>
        <vt:i4>6422639</vt:i4>
      </vt:variant>
      <vt:variant>
        <vt:i4>501</vt:i4>
      </vt:variant>
      <vt:variant>
        <vt:i4>0</vt:i4>
      </vt:variant>
      <vt:variant>
        <vt:i4>5</vt:i4>
      </vt:variant>
      <vt:variant>
        <vt:lpwstr/>
      </vt:variant>
      <vt:variant>
        <vt:lpwstr>DrillDropDefinition</vt:lpwstr>
      </vt:variant>
      <vt:variant>
        <vt:i4>6422639</vt:i4>
      </vt:variant>
      <vt:variant>
        <vt:i4>498</vt:i4>
      </vt:variant>
      <vt:variant>
        <vt:i4>0</vt:i4>
      </vt:variant>
      <vt:variant>
        <vt:i4>5</vt:i4>
      </vt:variant>
      <vt:variant>
        <vt:lpwstr/>
      </vt:variant>
      <vt:variant>
        <vt:lpwstr>DrillDropDefinition</vt:lpwstr>
      </vt:variant>
      <vt:variant>
        <vt:i4>6422639</vt:i4>
      </vt:variant>
      <vt:variant>
        <vt:i4>495</vt:i4>
      </vt:variant>
      <vt:variant>
        <vt:i4>0</vt:i4>
      </vt:variant>
      <vt:variant>
        <vt:i4>5</vt:i4>
      </vt:variant>
      <vt:variant>
        <vt:lpwstr/>
      </vt:variant>
      <vt:variant>
        <vt:lpwstr>DrillDropDefinition</vt:lpwstr>
      </vt:variant>
      <vt:variant>
        <vt:i4>6422639</vt:i4>
      </vt:variant>
      <vt:variant>
        <vt:i4>492</vt:i4>
      </vt:variant>
      <vt:variant>
        <vt:i4>0</vt:i4>
      </vt:variant>
      <vt:variant>
        <vt:i4>5</vt:i4>
      </vt:variant>
      <vt:variant>
        <vt:lpwstr/>
      </vt:variant>
      <vt:variant>
        <vt:lpwstr>DrillDropDefinition</vt:lpwstr>
      </vt:variant>
      <vt:variant>
        <vt:i4>7471227</vt:i4>
      </vt:variant>
      <vt:variant>
        <vt:i4>489</vt:i4>
      </vt:variant>
      <vt:variant>
        <vt:i4>0</vt:i4>
      </vt:variant>
      <vt:variant>
        <vt:i4>5</vt:i4>
      </vt:variant>
      <vt:variant>
        <vt:lpwstr/>
      </vt:variant>
      <vt:variant>
        <vt:lpwstr>ProspectDefinition</vt:lpwstr>
      </vt:variant>
      <vt:variant>
        <vt:i4>6488186</vt:i4>
      </vt:variant>
      <vt:variant>
        <vt:i4>486</vt:i4>
      </vt:variant>
      <vt:variant>
        <vt:i4>0</vt:i4>
      </vt:variant>
      <vt:variant>
        <vt:i4>5</vt:i4>
      </vt:variant>
      <vt:variant>
        <vt:lpwstr/>
      </vt:variant>
      <vt:variant>
        <vt:lpwstr>LeadDefinition</vt:lpwstr>
      </vt:variant>
      <vt:variant>
        <vt:i4>196608</vt:i4>
      </vt:variant>
      <vt:variant>
        <vt:i4>483</vt:i4>
      </vt:variant>
      <vt:variant>
        <vt:i4>0</vt:i4>
      </vt:variant>
      <vt:variant>
        <vt:i4>5</vt:i4>
      </vt:variant>
      <vt:variant>
        <vt:lpwstr/>
      </vt:variant>
      <vt:variant>
        <vt:lpwstr>NewPlayDefinition</vt:lpwstr>
      </vt:variant>
      <vt:variant>
        <vt:i4>983109</vt:i4>
      </vt:variant>
      <vt:variant>
        <vt:i4>480</vt:i4>
      </vt:variant>
      <vt:variant>
        <vt:i4>0</vt:i4>
      </vt:variant>
      <vt:variant>
        <vt:i4>5</vt:i4>
      </vt:variant>
      <vt:variant>
        <vt:lpwstr>http://www.ukogl.org.uk/</vt:lpwstr>
      </vt:variant>
      <vt:variant>
        <vt:lpwstr/>
      </vt:variant>
      <vt:variant>
        <vt:i4>983045</vt:i4>
      </vt:variant>
      <vt:variant>
        <vt:i4>477</vt:i4>
      </vt:variant>
      <vt:variant>
        <vt:i4>0</vt:i4>
      </vt:variant>
      <vt:variant>
        <vt:i4>5</vt:i4>
      </vt:variant>
      <vt:variant>
        <vt:lpwstr/>
      </vt:variant>
      <vt:variant>
        <vt:lpwstr>ObtainDefinition</vt:lpwstr>
      </vt:variant>
      <vt:variant>
        <vt:i4>6422639</vt:i4>
      </vt:variant>
      <vt:variant>
        <vt:i4>474</vt:i4>
      </vt:variant>
      <vt:variant>
        <vt:i4>0</vt:i4>
      </vt:variant>
      <vt:variant>
        <vt:i4>5</vt:i4>
      </vt:variant>
      <vt:variant>
        <vt:lpwstr/>
      </vt:variant>
      <vt:variant>
        <vt:lpwstr>DrillDropDefinition</vt:lpwstr>
      </vt:variant>
      <vt:variant>
        <vt:i4>393242</vt:i4>
      </vt:variant>
      <vt:variant>
        <vt:i4>471</vt:i4>
      </vt:variant>
      <vt:variant>
        <vt:i4>0</vt:i4>
      </vt:variant>
      <vt:variant>
        <vt:i4>5</vt:i4>
      </vt:variant>
      <vt:variant>
        <vt:lpwstr/>
      </vt:variant>
      <vt:variant>
        <vt:lpwstr>ContingentDefinition</vt:lpwstr>
      </vt:variant>
      <vt:variant>
        <vt:i4>6684771</vt:i4>
      </vt:variant>
      <vt:variant>
        <vt:i4>468</vt:i4>
      </vt:variant>
      <vt:variant>
        <vt:i4>0</vt:i4>
      </vt:variant>
      <vt:variant>
        <vt:i4>5</vt:i4>
      </vt:variant>
      <vt:variant>
        <vt:lpwstr/>
      </vt:variant>
      <vt:variant>
        <vt:lpwstr>FirmDefinition</vt:lpwstr>
      </vt:variant>
      <vt:variant>
        <vt:i4>1769551</vt:i4>
      </vt:variant>
      <vt:variant>
        <vt:i4>465</vt:i4>
      </vt:variant>
      <vt:variant>
        <vt:i4>0</vt:i4>
      </vt:variant>
      <vt:variant>
        <vt:i4>5</vt:i4>
      </vt:variant>
      <vt:variant>
        <vt:lpwstr>http://www.og.dti.gov.uk/upstream/licensing/oncoords.htm</vt:lpwstr>
      </vt:variant>
      <vt:variant>
        <vt:lpwstr/>
      </vt:variant>
      <vt:variant>
        <vt:i4>196608</vt:i4>
      </vt:variant>
      <vt:variant>
        <vt:i4>462</vt:i4>
      </vt:variant>
      <vt:variant>
        <vt:i4>0</vt:i4>
      </vt:variant>
      <vt:variant>
        <vt:i4>5</vt:i4>
      </vt:variant>
      <vt:variant>
        <vt:lpwstr/>
      </vt:variant>
      <vt:variant>
        <vt:lpwstr>NewPlayDefinition</vt:lpwstr>
      </vt:variant>
      <vt:variant>
        <vt:i4>6488186</vt:i4>
      </vt:variant>
      <vt:variant>
        <vt:i4>459</vt:i4>
      </vt:variant>
      <vt:variant>
        <vt:i4>0</vt:i4>
      </vt:variant>
      <vt:variant>
        <vt:i4>5</vt:i4>
      </vt:variant>
      <vt:variant>
        <vt:lpwstr/>
      </vt:variant>
      <vt:variant>
        <vt:lpwstr>LeadDefinition</vt:lpwstr>
      </vt:variant>
      <vt:variant>
        <vt:i4>7471227</vt:i4>
      </vt:variant>
      <vt:variant>
        <vt:i4>456</vt:i4>
      </vt:variant>
      <vt:variant>
        <vt:i4>0</vt:i4>
      </vt:variant>
      <vt:variant>
        <vt:i4>5</vt:i4>
      </vt:variant>
      <vt:variant>
        <vt:lpwstr/>
      </vt:variant>
      <vt:variant>
        <vt:lpwstr>ProspectDefinition</vt:lpwstr>
      </vt:variant>
      <vt:variant>
        <vt:i4>7471227</vt:i4>
      </vt:variant>
      <vt:variant>
        <vt:i4>453</vt:i4>
      </vt:variant>
      <vt:variant>
        <vt:i4>0</vt:i4>
      </vt:variant>
      <vt:variant>
        <vt:i4>5</vt:i4>
      </vt:variant>
      <vt:variant>
        <vt:lpwstr/>
      </vt:variant>
      <vt:variant>
        <vt:lpwstr>ProspectDefinition</vt:lpwstr>
      </vt:variant>
      <vt:variant>
        <vt:i4>6488186</vt:i4>
      </vt:variant>
      <vt:variant>
        <vt:i4>450</vt:i4>
      </vt:variant>
      <vt:variant>
        <vt:i4>0</vt:i4>
      </vt:variant>
      <vt:variant>
        <vt:i4>5</vt:i4>
      </vt:variant>
      <vt:variant>
        <vt:lpwstr/>
      </vt:variant>
      <vt:variant>
        <vt:lpwstr>LeadDefinition</vt:lpwstr>
      </vt:variant>
      <vt:variant>
        <vt:i4>5374028</vt:i4>
      </vt:variant>
      <vt:variant>
        <vt:i4>447</vt:i4>
      </vt:variant>
      <vt:variant>
        <vt:i4>0</vt:i4>
      </vt:variant>
      <vt:variant>
        <vt:i4>5</vt:i4>
      </vt:variant>
      <vt:variant>
        <vt:lpwstr>http://www.ordsvy.gov.uk/</vt:lpwstr>
      </vt:variant>
      <vt:variant>
        <vt:lpwstr/>
      </vt:variant>
      <vt:variant>
        <vt:i4>65617</vt:i4>
      </vt:variant>
      <vt:variant>
        <vt:i4>444</vt:i4>
      </vt:variant>
      <vt:variant>
        <vt:i4>0</vt:i4>
      </vt:variant>
      <vt:variant>
        <vt:i4>5</vt:i4>
      </vt:variant>
      <vt:variant>
        <vt:lpwstr>http://www.og.dti.gov.uk/upstream/licensing/overview.htm</vt:lpwstr>
      </vt:variant>
      <vt:variant>
        <vt:lpwstr/>
      </vt:variant>
      <vt:variant>
        <vt:i4>1441853</vt:i4>
      </vt:variant>
      <vt:variant>
        <vt:i4>441</vt:i4>
      </vt:variant>
      <vt:variant>
        <vt:i4>0</vt:i4>
      </vt:variant>
      <vt:variant>
        <vt:i4>5</vt:i4>
      </vt:variant>
      <vt:variant>
        <vt:lpwstr/>
      </vt:variant>
      <vt:variant>
        <vt:lpwstr>_Annexe_1:_Definitions</vt:lpwstr>
      </vt:variant>
      <vt:variant>
        <vt:i4>7471227</vt:i4>
      </vt:variant>
      <vt:variant>
        <vt:i4>438</vt:i4>
      </vt:variant>
      <vt:variant>
        <vt:i4>0</vt:i4>
      </vt:variant>
      <vt:variant>
        <vt:i4>5</vt:i4>
      </vt:variant>
      <vt:variant>
        <vt:lpwstr/>
      </vt:variant>
      <vt:variant>
        <vt:lpwstr>ProspectDefinition</vt:lpwstr>
      </vt:variant>
      <vt:variant>
        <vt:i4>6488186</vt:i4>
      </vt:variant>
      <vt:variant>
        <vt:i4>435</vt:i4>
      </vt:variant>
      <vt:variant>
        <vt:i4>0</vt:i4>
      </vt:variant>
      <vt:variant>
        <vt:i4>5</vt:i4>
      </vt:variant>
      <vt:variant>
        <vt:lpwstr/>
      </vt:variant>
      <vt:variant>
        <vt:lpwstr>LeadDefinition</vt:lpwstr>
      </vt:variant>
      <vt:variant>
        <vt:i4>7471227</vt:i4>
      </vt:variant>
      <vt:variant>
        <vt:i4>432</vt:i4>
      </vt:variant>
      <vt:variant>
        <vt:i4>0</vt:i4>
      </vt:variant>
      <vt:variant>
        <vt:i4>5</vt:i4>
      </vt:variant>
      <vt:variant>
        <vt:lpwstr/>
      </vt:variant>
      <vt:variant>
        <vt:lpwstr>ProspectDefinition</vt:lpwstr>
      </vt:variant>
      <vt:variant>
        <vt:i4>6488186</vt:i4>
      </vt:variant>
      <vt:variant>
        <vt:i4>429</vt:i4>
      </vt:variant>
      <vt:variant>
        <vt:i4>0</vt:i4>
      </vt:variant>
      <vt:variant>
        <vt:i4>5</vt:i4>
      </vt:variant>
      <vt:variant>
        <vt:lpwstr/>
      </vt:variant>
      <vt:variant>
        <vt:lpwstr>LeadDefinition</vt:lpwstr>
      </vt:variant>
      <vt:variant>
        <vt:i4>5308469</vt:i4>
      </vt:variant>
      <vt:variant>
        <vt:i4>426</vt:i4>
      </vt:variant>
      <vt:variant>
        <vt:i4>0</vt:i4>
      </vt:variant>
      <vt:variant>
        <vt:i4>5</vt:i4>
      </vt:variant>
      <vt:variant>
        <vt:lpwstr>mailto:nicholas.rogers@dti.gsi.gov.uk</vt:lpwstr>
      </vt:variant>
      <vt:variant>
        <vt:lpwstr/>
      </vt:variant>
      <vt:variant>
        <vt:i4>7471145</vt:i4>
      </vt:variant>
      <vt:variant>
        <vt:i4>423</vt:i4>
      </vt:variant>
      <vt:variant>
        <vt:i4>0</vt:i4>
      </vt:variant>
      <vt:variant>
        <vt:i4>5</vt:i4>
      </vt:variant>
      <vt:variant>
        <vt:lpwstr>http://www.og.dti.gov.uk/upstream/licensing/LicAppFormAppA.doc</vt:lpwstr>
      </vt:variant>
      <vt:variant>
        <vt:lpwstr/>
      </vt:variant>
      <vt:variant>
        <vt:i4>524318</vt:i4>
      </vt:variant>
      <vt:variant>
        <vt:i4>420</vt:i4>
      </vt:variant>
      <vt:variant>
        <vt:i4>0</vt:i4>
      </vt:variant>
      <vt:variant>
        <vt:i4>5</vt:i4>
      </vt:variant>
      <vt:variant>
        <vt:lpwstr/>
      </vt:variant>
      <vt:variant>
        <vt:lpwstr>_Corporate_structure</vt:lpwstr>
      </vt:variant>
      <vt:variant>
        <vt:i4>3604512</vt:i4>
      </vt:variant>
      <vt:variant>
        <vt:i4>417</vt:i4>
      </vt:variant>
      <vt:variant>
        <vt:i4>0</vt:i4>
      </vt:variant>
      <vt:variant>
        <vt:i4>5</vt:i4>
      </vt:variant>
      <vt:variant>
        <vt:lpwstr/>
      </vt:variant>
      <vt:variant>
        <vt:lpwstr>_Appendix_A_Section_1</vt:lpwstr>
      </vt:variant>
      <vt:variant>
        <vt:i4>6946934</vt:i4>
      </vt:variant>
      <vt:variant>
        <vt:i4>414</vt:i4>
      </vt:variant>
      <vt:variant>
        <vt:i4>0</vt:i4>
      </vt:variant>
      <vt:variant>
        <vt:i4>5</vt:i4>
      </vt:variant>
      <vt:variant>
        <vt:lpwstr/>
      </vt:variant>
      <vt:variant>
        <vt:lpwstr>NetWorthDefinition</vt:lpwstr>
      </vt:variant>
      <vt:variant>
        <vt:i4>6946934</vt:i4>
      </vt:variant>
      <vt:variant>
        <vt:i4>411</vt:i4>
      </vt:variant>
      <vt:variant>
        <vt:i4>0</vt:i4>
      </vt:variant>
      <vt:variant>
        <vt:i4>5</vt:i4>
      </vt:variant>
      <vt:variant>
        <vt:lpwstr/>
      </vt:variant>
      <vt:variant>
        <vt:lpwstr>NetWorthDefinition</vt:lpwstr>
      </vt:variant>
      <vt:variant>
        <vt:i4>5505060</vt:i4>
      </vt:variant>
      <vt:variant>
        <vt:i4>408</vt:i4>
      </vt:variant>
      <vt:variant>
        <vt:i4>0</vt:i4>
      </vt:variant>
      <vt:variant>
        <vt:i4>5</vt:i4>
      </vt:variant>
      <vt:variant>
        <vt:lpwstr>mailto:info@capturing-the-energy-org.uk</vt:lpwstr>
      </vt:variant>
      <vt:variant>
        <vt:lpwstr/>
      </vt:variant>
      <vt:variant>
        <vt:i4>2883625</vt:i4>
      </vt:variant>
      <vt:variant>
        <vt:i4>405</vt:i4>
      </vt:variant>
      <vt:variant>
        <vt:i4>0</vt:i4>
      </vt:variant>
      <vt:variant>
        <vt:i4>5</vt:i4>
      </vt:variant>
      <vt:variant>
        <vt:lpwstr>http://www.capturing-the-energy.org.uk/</vt:lpwstr>
      </vt:variant>
      <vt:variant>
        <vt:lpwstr/>
      </vt:variant>
      <vt:variant>
        <vt:i4>3080229</vt:i4>
      </vt:variant>
      <vt:variant>
        <vt:i4>402</vt:i4>
      </vt:variant>
      <vt:variant>
        <vt:i4>0</vt:i4>
      </vt:variant>
      <vt:variant>
        <vt:i4>5</vt:i4>
      </vt:variant>
      <vt:variant>
        <vt:lpwstr>http://www.og.dti.gov.uk/upstream/licensing/22_12_rnds/index.htm</vt:lpwstr>
      </vt:variant>
      <vt:variant>
        <vt:lpwstr/>
      </vt:variant>
      <vt:variant>
        <vt:i4>589870</vt:i4>
      </vt:variant>
      <vt:variant>
        <vt:i4>399</vt:i4>
      </vt:variant>
      <vt:variant>
        <vt:i4>0</vt:i4>
      </vt:variant>
      <vt:variant>
        <vt:i4>5</vt:i4>
      </vt:variant>
      <vt:variant>
        <vt:lpwstr/>
      </vt:variant>
      <vt:variant>
        <vt:lpwstr>_Annexe_4:_Approved</vt:lpwstr>
      </vt:variant>
      <vt:variant>
        <vt:i4>131092</vt:i4>
      </vt:variant>
      <vt:variant>
        <vt:i4>396</vt:i4>
      </vt:variant>
      <vt:variant>
        <vt:i4>0</vt:i4>
      </vt:variant>
      <vt:variant>
        <vt:i4>5</vt:i4>
      </vt:variant>
      <vt:variant>
        <vt:lpwstr/>
      </vt:variant>
      <vt:variant>
        <vt:lpwstr>PreEmptionDefinition</vt:lpwstr>
      </vt:variant>
      <vt:variant>
        <vt:i4>655395</vt:i4>
      </vt:variant>
      <vt:variant>
        <vt:i4>393</vt:i4>
      </vt:variant>
      <vt:variant>
        <vt:i4>0</vt:i4>
      </vt:variant>
      <vt:variant>
        <vt:i4>5</vt:i4>
      </vt:variant>
      <vt:variant>
        <vt:lpwstr/>
      </vt:variant>
      <vt:variant>
        <vt:lpwstr>_Annexe_5:_Contacts</vt:lpwstr>
      </vt:variant>
      <vt:variant>
        <vt:i4>6619246</vt:i4>
      </vt:variant>
      <vt:variant>
        <vt:i4>390</vt:i4>
      </vt:variant>
      <vt:variant>
        <vt:i4>0</vt:i4>
      </vt:variant>
      <vt:variant>
        <vt:i4>5</vt:i4>
      </vt:variant>
      <vt:variant>
        <vt:lpwstr/>
      </vt:variant>
      <vt:variant>
        <vt:lpwstr>PromotionalPlansDefinition</vt:lpwstr>
      </vt:variant>
      <vt:variant>
        <vt:i4>196660</vt:i4>
      </vt:variant>
      <vt:variant>
        <vt:i4>387</vt:i4>
      </vt:variant>
      <vt:variant>
        <vt:i4>0</vt:i4>
      </vt:variant>
      <vt:variant>
        <vt:i4>5</vt:i4>
      </vt:variant>
      <vt:variant>
        <vt:lpwstr/>
      </vt:variant>
      <vt:variant>
        <vt:lpwstr>_Annexe_2:_The</vt:lpwstr>
      </vt:variant>
      <vt:variant>
        <vt:i4>7471227</vt:i4>
      </vt:variant>
      <vt:variant>
        <vt:i4>384</vt:i4>
      </vt:variant>
      <vt:variant>
        <vt:i4>0</vt:i4>
      </vt:variant>
      <vt:variant>
        <vt:i4>5</vt:i4>
      </vt:variant>
      <vt:variant>
        <vt:lpwstr/>
      </vt:variant>
      <vt:variant>
        <vt:lpwstr>ProspectDefinition</vt:lpwstr>
      </vt:variant>
      <vt:variant>
        <vt:i4>196660</vt:i4>
      </vt:variant>
      <vt:variant>
        <vt:i4>381</vt:i4>
      </vt:variant>
      <vt:variant>
        <vt:i4>0</vt:i4>
      </vt:variant>
      <vt:variant>
        <vt:i4>5</vt:i4>
      </vt:variant>
      <vt:variant>
        <vt:lpwstr/>
      </vt:variant>
      <vt:variant>
        <vt:lpwstr>_Annexe_2:_The</vt:lpwstr>
      </vt:variant>
      <vt:variant>
        <vt:i4>4915278</vt:i4>
      </vt:variant>
      <vt:variant>
        <vt:i4>378</vt:i4>
      </vt:variant>
      <vt:variant>
        <vt:i4>0</vt:i4>
      </vt:variant>
      <vt:variant>
        <vt:i4>5</vt:i4>
      </vt:variant>
      <vt:variant>
        <vt:lpwstr>http://www.opsi.gov.uk/acts/acts1998/19980017.htm</vt:lpwstr>
      </vt:variant>
      <vt:variant>
        <vt:lpwstr/>
      </vt:variant>
      <vt:variant>
        <vt:i4>6619246</vt:i4>
      </vt:variant>
      <vt:variant>
        <vt:i4>375</vt:i4>
      </vt:variant>
      <vt:variant>
        <vt:i4>0</vt:i4>
      </vt:variant>
      <vt:variant>
        <vt:i4>5</vt:i4>
      </vt:variant>
      <vt:variant>
        <vt:lpwstr/>
      </vt:variant>
      <vt:variant>
        <vt:lpwstr>PromotionalPlansDefinition</vt:lpwstr>
      </vt:variant>
      <vt:variant>
        <vt:i4>655395</vt:i4>
      </vt:variant>
      <vt:variant>
        <vt:i4>372</vt:i4>
      </vt:variant>
      <vt:variant>
        <vt:i4>0</vt:i4>
      </vt:variant>
      <vt:variant>
        <vt:i4>5</vt:i4>
      </vt:variant>
      <vt:variant>
        <vt:lpwstr/>
      </vt:variant>
      <vt:variant>
        <vt:lpwstr>_Annexe_5:_Contacts</vt:lpwstr>
      </vt:variant>
      <vt:variant>
        <vt:i4>655395</vt:i4>
      </vt:variant>
      <vt:variant>
        <vt:i4>369</vt:i4>
      </vt:variant>
      <vt:variant>
        <vt:i4>0</vt:i4>
      </vt:variant>
      <vt:variant>
        <vt:i4>5</vt:i4>
      </vt:variant>
      <vt:variant>
        <vt:lpwstr/>
      </vt:variant>
      <vt:variant>
        <vt:lpwstr>_Annexe_5:_Contacts</vt:lpwstr>
      </vt:variant>
      <vt:variant>
        <vt:i4>2883678</vt:i4>
      </vt:variant>
      <vt:variant>
        <vt:i4>365</vt:i4>
      </vt:variant>
      <vt:variant>
        <vt:i4>0</vt:i4>
      </vt:variant>
      <vt:variant>
        <vt:i4>5</vt:i4>
      </vt:variant>
      <vt:variant>
        <vt:lpwstr/>
      </vt:variant>
      <vt:variant>
        <vt:lpwstr>_Application_fee_1</vt:lpwstr>
      </vt:variant>
      <vt:variant>
        <vt:i4>1900545</vt:i4>
      </vt:variant>
      <vt:variant>
        <vt:i4>363</vt:i4>
      </vt:variant>
      <vt:variant>
        <vt:i4>0</vt:i4>
      </vt:variant>
      <vt:variant>
        <vt:i4>5</vt:i4>
      </vt:variant>
      <vt:variant>
        <vt:lpwstr/>
      </vt:variant>
      <vt:variant>
        <vt:lpwstr>_Application_fee</vt:lpwstr>
      </vt:variant>
      <vt:variant>
        <vt:i4>5832817</vt:i4>
      </vt:variant>
      <vt:variant>
        <vt:i4>360</vt:i4>
      </vt:variant>
      <vt:variant>
        <vt:i4>0</vt:i4>
      </vt:variant>
      <vt:variant>
        <vt:i4>5</vt:i4>
      </vt:variant>
      <vt:variant>
        <vt:lpwstr/>
      </vt:variant>
      <vt:variant>
        <vt:lpwstr>_Accounts_or_published</vt:lpwstr>
      </vt:variant>
      <vt:variant>
        <vt:i4>2883678</vt:i4>
      </vt:variant>
      <vt:variant>
        <vt:i4>355</vt:i4>
      </vt:variant>
      <vt:variant>
        <vt:i4>0</vt:i4>
      </vt:variant>
      <vt:variant>
        <vt:i4>5</vt:i4>
      </vt:variant>
      <vt:variant>
        <vt:lpwstr/>
      </vt:variant>
      <vt:variant>
        <vt:lpwstr>_Application_fee_1</vt:lpwstr>
      </vt:variant>
      <vt:variant>
        <vt:i4>1900545</vt:i4>
      </vt:variant>
      <vt:variant>
        <vt:i4>353</vt:i4>
      </vt:variant>
      <vt:variant>
        <vt:i4>0</vt:i4>
      </vt:variant>
      <vt:variant>
        <vt:i4>5</vt:i4>
      </vt:variant>
      <vt:variant>
        <vt:lpwstr/>
      </vt:variant>
      <vt:variant>
        <vt:lpwstr>_Application_fee</vt:lpwstr>
      </vt:variant>
      <vt:variant>
        <vt:i4>6750331</vt:i4>
      </vt:variant>
      <vt:variant>
        <vt:i4>351</vt:i4>
      </vt:variant>
      <vt:variant>
        <vt:i4>0</vt:i4>
      </vt:variant>
      <vt:variant>
        <vt:i4>5</vt:i4>
      </vt:variant>
      <vt:variant>
        <vt:lpwstr/>
      </vt:variant>
      <vt:variant>
        <vt:lpwstr>ApplicationFee</vt:lpwstr>
      </vt:variant>
      <vt:variant>
        <vt:i4>5832817</vt:i4>
      </vt:variant>
      <vt:variant>
        <vt:i4>348</vt:i4>
      </vt:variant>
      <vt:variant>
        <vt:i4>0</vt:i4>
      </vt:variant>
      <vt:variant>
        <vt:i4>5</vt:i4>
      </vt:variant>
      <vt:variant>
        <vt:lpwstr/>
      </vt:variant>
      <vt:variant>
        <vt:lpwstr>_Accounts_or_published</vt:lpwstr>
      </vt:variant>
      <vt:variant>
        <vt:i4>2883678</vt:i4>
      </vt:variant>
      <vt:variant>
        <vt:i4>343</vt:i4>
      </vt:variant>
      <vt:variant>
        <vt:i4>0</vt:i4>
      </vt:variant>
      <vt:variant>
        <vt:i4>5</vt:i4>
      </vt:variant>
      <vt:variant>
        <vt:lpwstr/>
      </vt:variant>
      <vt:variant>
        <vt:lpwstr>_Application_fee_1</vt:lpwstr>
      </vt:variant>
      <vt:variant>
        <vt:i4>1900545</vt:i4>
      </vt:variant>
      <vt:variant>
        <vt:i4>341</vt:i4>
      </vt:variant>
      <vt:variant>
        <vt:i4>0</vt:i4>
      </vt:variant>
      <vt:variant>
        <vt:i4>5</vt:i4>
      </vt:variant>
      <vt:variant>
        <vt:lpwstr/>
      </vt:variant>
      <vt:variant>
        <vt:lpwstr>_Application_fee</vt:lpwstr>
      </vt:variant>
      <vt:variant>
        <vt:i4>1900545</vt:i4>
      </vt:variant>
      <vt:variant>
        <vt:i4>339</vt:i4>
      </vt:variant>
      <vt:variant>
        <vt:i4>0</vt:i4>
      </vt:variant>
      <vt:variant>
        <vt:i4>5</vt:i4>
      </vt:variant>
      <vt:variant>
        <vt:lpwstr/>
      </vt:variant>
      <vt:variant>
        <vt:lpwstr>_Application_fee</vt:lpwstr>
      </vt:variant>
      <vt:variant>
        <vt:i4>5832817</vt:i4>
      </vt:variant>
      <vt:variant>
        <vt:i4>336</vt:i4>
      </vt:variant>
      <vt:variant>
        <vt:i4>0</vt:i4>
      </vt:variant>
      <vt:variant>
        <vt:i4>5</vt:i4>
      </vt:variant>
      <vt:variant>
        <vt:lpwstr/>
      </vt:variant>
      <vt:variant>
        <vt:lpwstr>_Accounts_or_published</vt:lpwstr>
      </vt:variant>
      <vt:variant>
        <vt:i4>7471227</vt:i4>
      </vt:variant>
      <vt:variant>
        <vt:i4>333</vt:i4>
      </vt:variant>
      <vt:variant>
        <vt:i4>0</vt:i4>
      </vt:variant>
      <vt:variant>
        <vt:i4>5</vt:i4>
      </vt:variant>
      <vt:variant>
        <vt:lpwstr/>
      </vt:variant>
      <vt:variant>
        <vt:lpwstr>ProspectDefinition</vt:lpwstr>
      </vt:variant>
      <vt:variant>
        <vt:i4>6488186</vt:i4>
      </vt:variant>
      <vt:variant>
        <vt:i4>330</vt:i4>
      </vt:variant>
      <vt:variant>
        <vt:i4>0</vt:i4>
      </vt:variant>
      <vt:variant>
        <vt:i4>5</vt:i4>
      </vt:variant>
      <vt:variant>
        <vt:lpwstr/>
      </vt:variant>
      <vt:variant>
        <vt:lpwstr>LeadDefinition</vt:lpwstr>
      </vt:variant>
      <vt:variant>
        <vt:i4>655395</vt:i4>
      </vt:variant>
      <vt:variant>
        <vt:i4>327</vt:i4>
      </vt:variant>
      <vt:variant>
        <vt:i4>0</vt:i4>
      </vt:variant>
      <vt:variant>
        <vt:i4>5</vt:i4>
      </vt:variant>
      <vt:variant>
        <vt:lpwstr/>
      </vt:variant>
      <vt:variant>
        <vt:lpwstr>_Annexe_5:_Contacts</vt:lpwstr>
      </vt:variant>
      <vt:variant>
        <vt:i4>2686988</vt:i4>
      </vt:variant>
      <vt:variant>
        <vt:i4>324</vt:i4>
      </vt:variant>
      <vt:variant>
        <vt:i4>0</vt:i4>
      </vt:variant>
      <vt:variant>
        <vt:i4>5</vt:i4>
      </vt:variant>
      <vt:variant>
        <vt:lpwstr/>
      </vt:variant>
      <vt:variant>
        <vt:lpwstr>_Number_of_copies</vt:lpwstr>
      </vt:variant>
      <vt:variant>
        <vt:i4>1769566</vt:i4>
      </vt:variant>
      <vt:variant>
        <vt:i4>321</vt:i4>
      </vt:variant>
      <vt:variant>
        <vt:i4>0</vt:i4>
      </vt:variant>
      <vt:variant>
        <vt:i4>5</vt:i4>
      </vt:variant>
      <vt:variant>
        <vt:lpwstr/>
      </vt:variant>
      <vt:variant>
        <vt:lpwstr>_Environmental_issues_(Appendix_1</vt:lpwstr>
      </vt:variant>
      <vt:variant>
        <vt:i4>4456486</vt:i4>
      </vt:variant>
      <vt:variant>
        <vt:i4>318</vt:i4>
      </vt:variant>
      <vt:variant>
        <vt:i4>0</vt:i4>
      </vt:variant>
      <vt:variant>
        <vt:i4>5</vt:i4>
      </vt:variant>
      <vt:variant>
        <vt:lpwstr/>
      </vt:variant>
      <vt:variant>
        <vt:lpwstr>_Environmental_issues_(Appendix</vt:lpwstr>
      </vt:variant>
      <vt:variant>
        <vt:i4>4456486</vt:i4>
      </vt:variant>
      <vt:variant>
        <vt:i4>315</vt:i4>
      </vt:variant>
      <vt:variant>
        <vt:i4>0</vt:i4>
      </vt:variant>
      <vt:variant>
        <vt:i4>5</vt:i4>
      </vt:variant>
      <vt:variant>
        <vt:lpwstr/>
      </vt:variant>
      <vt:variant>
        <vt:lpwstr>_Environmental_issues_(Appendix</vt:lpwstr>
      </vt:variant>
      <vt:variant>
        <vt:i4>7864384</vt:i4>
      </vt:variant>
      <vt:variant>
        <vt:i4>312</vt:i4>
      </vt:variant>
      <vt:variant>
        <vt:i4>0</vt:i4>
      </vt:variant>
      <vt:variant>
        <vt:i4>5</vt:i4>
      </vt:variant>
      <vt:variant>
        <vt:lpwstr/>
      </vt:variant>
      <vt:variant>
        <vt:lpwstr>_Section_4:_Operator</vt:lpwstr>
      </vt:variant>
      <vt:variant>
        <vt:i4>7143513</vt:i4>
      </vt:variant>
      <vt:variant>
        <vt:i4>309</vt:i4>
      </vt:variant>
      <vt:variant>
        <vt:i4>0</vt:i4>
      </vt:variant>
      <vt:variant>
        <vt:i4>5</vt:i4>
      </vt:variant>
      <vt:variant>
        <vt:lpwstr/>
      </vt:variant>
      <vt:variant>
        <vt:lpwstr>_Geotechnical_information_about</vt:lpwstr>
      </vt:variant>
      <vt:variant>
        <vt:i4>8126535</vt:i4>
      </vt:variant>
      <vt:variant>
        <vt:i4>306</vt:i4>
      </vt:variant>
      <vt:variant>
        <vt:i4>0</vt:i4>
      </vt:variant>
      <vt:variant>
        <vt:i4>5</vt:i4>
      </vt:variant>
      <vt:variant>
        <vt:lpwstr>http://www.og.berr.gov.uk/upstream/licensing/onshore_13th/ApplicationAppendixA2007A.doc</vt:lpwstr>
      </vt:variant>
      <vt:variant>
        <vt:lpwstr/>
      </vt:variant>
      <vt:variant>
        <vt:i4>3145743</vt:i4>
      </vt:variant>
      <vt:variant>
        <vt:i4>303</vt:i4>
      </vt:variant>
      <vt:variant>
        <vt:i4>0</vt:i4>
      </vt:variant>
      <vt:variant>
        <vt:i4>5</vt:i4>
      </vt:variant>
      <vt:variant>
        <vt:lpwstr>http://www.og.berr.gov.uk/upstream/licensing/onshore_13th/ApplicationCorporateInformationForm2007A.doc</vt:lpwstr>
      </vt:variant>
      <vt:variant>
        <vt:lpwstr/>
      </vt:variant>
      <vt:variant>
        <vt:i4>6094947</vt:i4>
      </vt:variant>
      <vt:variant>
        <vt:i4>300</vt:i4>
      </vt:variant>
      <vt:variant>
        <vt:i4>0</vt:i4>
      </vt:variant>
      <vt:variant>
        <vt:i4>5</vt:i4>
      </vt:variant>
      <vt:variant>
        <vt:lpwstr>http://www.og.berr.gov.uk/upstream/licensing/onshore_13th/ApplicationMainAppForm.doc</vt:lpwstr>
      </vt:variant>
      <vt:variant>
        <vt:lpwstr/>
      </vt:variant>
      <vt:variant>
        <vt:i4>7143513</vt:i4>
      </vt:variant>
      <vt:variant>
        <vt:i4>297</vt:i4>
      </vt:variant>
      <vt:variant>
        <vt:i4>0</vt:i4>
      </vt:variant>
      <vt:variant>
        <vt:i4>5</vt:i4>
      </vt:variant>
      <vt:variant>
        <vt:lpwstr/>
      </vt:variant>
      <vt:variant>
        <vt:lpwstr>_Geotechnical_information_about</vt:lpwstr>
      </vt:variant>
      <vt:variant>
        <vt:i4>196660</vt:i4>
      </vt:variant>
      <vt:variant>
        <vt:i4>294</vt:i4>
      </vt:variant>
      <vt:variant>
        <vt:i4>0</vt:i4>
      </vt:variant>
      <vt:variant>
        <vt:i4>5</vt:i4>
      </vt:variant>
      <vt:variant>
        <vt:lpwstr/>
      </vt:variant>
      <vt:variant>
        <vt:lpwstr>_Annexe_2:_The</vt:lpwstr>
      </vt:variant>
      <vt:variant>
        <vt:i4>6422639</vt:i4>
      </vt:variant>
      <vt:variant>
        <vt:i4>291</vt:i4>
      </vt:variant>
      <vt:variant>
        <vt:i4>0</vt:i4>
      </vt:variant>
      <vt:variant>
        <vt:i4>5</vt:i4>
      </vt:variant>
      <vt:variant>
        <vt:lpwstr/>
      </vt:variant>
      <vt:variant>
        <vt:lpwstr>DrillDropDefinition</vt:lpwstr>
      </vt:variant>
      <vt:variant>
        <vt:i4>393242</vt:i4>
      </vt:variant>
      <vt:variant>
        <vt:i4>288</vt:i4>
      </vt:variant>
      <vt:variant>
        <vt:i4>0</vt:i4>
      </vt:variant>
      <vt:variant>
        <vt:i4>5</vt:i4>
      </vt:variant>
      <vt:variant>
        <vt:lpwstr/>
      </vt:variant>
      <vt:variant>
        <vt:lpwstr>ContingentDefinition</vt:lpwstr>
      </vt:variant>
      <vt:variant>
        <vt:i4>6684771</vt:i4>
      </vt:variant>
      <vt:variant>
        <vt:i4>285</vt:i4>
      </vt:variant>
      <vt:variant>
        <vt:i4>0</vt:i4>
      </vt:variant>
      <vt:variant>
        <vt:i4>5</vt:i4>
      </vt:variant>
      <vt:variant>
        <vt:lpwstr/>
      </vt:variant>
      <vt:variant>
        <vt:lpwstr>FirmDefinition</vt:lpwstr>
      </vt:variant>
      <vt:variant>
        <vt:i4>1769566</vt:i4>
      </vt:variant>
      <vt:variant>
        <vt:i4>282</vt:i4>
      </vt:variant>
      <vt:variant>
        <vt:i4>0</vt:i4>
      </vt:variant>
      <vt:variant>
        <vt:i4>5</vt:i4>
      </vt:variant>
      <vt:variant>
        <vt:lpwstr/>
      </vt:variant>
      <vt:variant>
        <vt:lpwstr>_Environmental_issues_(Appendix_1</vt:lpwstr>
      </vt:variant>
      <vt:variant>
        <vt:i4>4456486</vt:i4>
      </vt:variant>
      <vt:variant>
        <vt:i4>279</vt:i4>
      </vt:variant>
      <vt:variant>
        <vt:i4>0</vt:i4>
      </vt:variant>
      <vt:variant>
        <vt:i4>5</vt:i4>
      </vt:variant>
      <vt:variant>
        <vt:lpwstr/>
      </vt:variant>
      <vt:variant>
        <vt:lpwstr>_Environmental_issues_(Appendix</vt:lpwstr>
      </vt:variant>
      <vt:variant>
        <vt:i4>7143513</vt:i4>
      </vt:variant>
      <vt:variant>
        <vt:i4>276</vt:i4>
      </vt:variant>
      <vt:variant>
        <vt:i4>0</vt:i4>
      </vt:variant>
      <vt:variant>
        <vt:i4>5</vt:i4>
      </vt:variant>
      <vt:variant>
        <vt:lpwstr/>
      </vt:variant>
      <vt:variant>
        <vt:lpwstr>_Geotechnical_information_about</vt:lpwstr>
      </vt:variant>
      <vt:variant>
        <vt:i4>4456522</vt:i4>
      </vt:variant>
      <vt:variant>
        <vt:i4>273</vt:i4>
      </vt:variant>
      <vt:variant>
        <vt:i4>0</vt:i4>
      </vt:variant>
      <vt:variant>
        <vt:i4>5</vt:i4>
      </vt:variant>
      <vt:variant>
        <vt:lpwstr/>
      </vt:variant>
      <vt:variant>
        <vt:lpwstr>_Appendix_A_(Financial_1</vt:lpwstr>
      </vt:variant>
      <vt:variant>
        <vt:i4>3604596</vt:i4>
      </vt:variant>
      <vt:variant>
        <vt:i4>270</vt:i4>
      </vt:variant>
      <vt:variant>
        <vt:i4>0</vt:i4>
      </vt:variant>
      <vt:variant>
        <vt:i4>5</vt:i4>
      </vt:variant>
      <vt:variant>
        <vt:lpwstr>http://www.og.dti.gov.uk/upstream/licensing/licsuit.htm</vt:lpwstr>
      </vt:variant>
      <vt:variant>
        <vt:lpwstr/>
      </vt:variant>
      <vt:variant>
        <vt:i4>6357079</vt:i4>
      </vt:variant>
      <vt:variant>
        <vt:i4>267</vt:i4>
      </vt:variant>
      <vt:variant>
        <vt:i4>0</vt:i4>
      </vt:variant>
      <vt:variant>
        <vt:i4>5</vt:i4>
      </vt:variant>
      <vt:variant>
        <vt:lpwstr/>
      </vt:variant>
      <vt:variant>
        <vt:lpwstr>_Documentation_and_formats</vt:lpwstr>
      </vt:variant>
      <vt:variant>
        <vt:i4>2687081</vt:i4>
      </vt:variant>
      <vt:variant>
        <vt:i4>264</vt:i4>
      </vt:variant>
      <vt:variant>
        <vt:i4>0</vt:i4>
      </vt:variant>
      <vt:variant>
        <vt:i4>5</vt:i4>
      </vt:variant>
      <vt:variant>
        <vt:lpwstr>http://www.og.dti.gov.uk/upstream/licensing/lictype.htm</vt:lpwstr>
      </vt:variant>
      <vt:variant>
        <vt:lpwstr/>
      </vt:variant>
      <vt:variant>
        <vt:i4>2687081</vt:i4>
      </vt:variant>
      <vt:variant>
        <vt:i4>261</vt:i4>
      </vt:variant>
      <vt:variant>
        <vt:i4>0</vt:i4>
      </vt:variant>
      <vt:variant>
        <vt:i4>5</vt:i4>
      </vt:variant>
      <vt:variant>
        <vt:lpwstr>http://www.og.dti.gov.uk/upstream/licensing/lictype.htm</vt:lpwstr>
      </vt:variant>
      <vt:variant>
        <vt:lpwstr/>
      </vt:variant>
      <vt:variant>
        <vt:i4>3997770</vt:i4>
      </vt:variant>
      <vt:variant>
        <vt:i4>258</vt:i4>
      </vt:variant>
      <vt:variant>
        <vt:i4>0</vt:i4>
      </vt:variant>
      <vt:variant>
        <vt:i4>5</vt:i4>
      </vt:variant>
      <vt:variant>
        <vt:lpwstr/>
      </vt:variant>
      <vt:variant>
        <vt:lpwstr>_Further_enquiries:_contacts</vt:lpwstr>
      </vt:variant>
      <vt:variant>
        <vt:i4>6422534</vt:i4>
      </vt:variant>
      <vt:variant>
        <vt:i4>255</vt:i4>
      </vt:variant>
      <vt:variant>
        <vt:i4>0</vt:i4>
      </vt:variant>
      <vt:variant>
        <vt:i4>5</vt:i4>
      </vt:variant>
      <vt:variant>
        <vt:lpwstr>http://www.opsi.gov.uk/si/si2008/uksi_20080225_en_1</vt:lpwstr>
      </vt:variant>
      <vt:variant>
        <vt:lpwstr/>
      </vt:variant>
      <vt:variant>
        <vt:i4>6684771</vt:i4>
      </vt:variant>
      <vt:variant>
        <vt:i4>252</vt:i4>
      </vt:variant>
      <vt:variant>
        <vt:i4>0</vt:i4>
      </vt:variant>
      <vt:variant>
        <vt:i4>5</vt:i4>
      </vt:variant>
      <vt:variant>
        <vt:lpwstr/>
      </vt:variant>
      <vt:variant>
        <vt:lpwstr>FirmDefinition</vt:lpwstr>
      </vt:variant>
      <vt:variant>
        <vt:i4>4325398</vt:i4>
      </vt:variant>
      <vt:variant>
        <vt:i4>249</vt:i4>
      </vt:variant>
      <vt:variant>
        <vt:i4>0</vt:i4>
      </vt:variant>
      <vt:variant>
        <vt:i4>5</vt:i4>
      </vt:variant>
      <vt:variant>
        <vt:lpwstr/>
      </vt:variant>
      <vt:variant>
        <vt:lpwstr>_How_decisions_are_1</vt:lpwstr>
      </vt:variant>
      <vt:variant>
        <vt:i4>196660</vt:i4>
      </vt:variant>
      <vt:variant>
        <vt:i4>246</vt:i4>
      </vt:variant>
      <vt:variant>
        <vt:i4>0</vt:i4>
      </vt:variant>
      <vt:variant>
        <vt:i4>5</vt:i4>
      </vt:variant>
      <vt:variant>
        <vt:lpwstr/>
      </vt:variant>
      <vt:variant>
        <vt:lpwstr>_Annexe_2:_The</vt:lpwstr>
      </vt:variant>
      <vt:variant>
        <vt:i4>3014708</vt:i4>
      </vt:variant>
      <vt:variant>
        <vt:i4>243</vt:i4>
      </vt:variant>
      <vt:variant>
        <vt:i4>0</vt:i4>
      </vt:variant>
      <vt:variant>
        <vt:i4>5</vt:i4>
      </vt:variant>
      <vt:variant>
        <vt:lpwstr/>
      </vt:variant>
      <vt:variant>
        <vt:lpwstr>_Interviews_1</vt:lpwstr>
      </vt:variant>
      <vt:variant>
        <vt:i4>2883678</vt:i4>
      </vt:variant>
      <vt:variant>
        <vt:i4>240</vt:i4>
      </vt:variant>
      <vt:variant>
        <vt:i4>0</vt:i4>
      </vt:variant>
      <vt:variant>
        <vt:i4>5</vt:i4>
      </vt:variant>
      <vt:variant>
        <vt:lpwstr/>
      </vt:variant>
      <vt:variant>
        <vt:lpwstr>_Application_fee_1</vt:lpwstr>
      </vt:variant>
      <vt:variant>
        <vt:i4>1048604</vt:i4>
      </vt:variant>
      <vt:variant>
        <vt:i4>237</vt:i4>
      </vt:variant>
      <vt:variant>
        <vt:i4>0</vt:i4>
      </vt:variant>
      <vt:variant>
        <vt:i4>5</vt:i4>
      </vt:variant>
      <vt:variant>
        <vt:lpwstr/>
      </vt:variant>
      <vt:variant>
        <vt:lpwstr>_Out-of-round_applications</vt:lpwstr>
      </vt:variant>
      <vt:variant>
        <vt:i4>4980821</vt:i4>
      </vt:variant>
      <vt:variant>
        <vt:i4>234</vt:i4>
      </vt:variant>
      <vt:variant>
        <vt:i4>0</vt:i4>
      </vt:variant>
      <vt:variant>
        <vt:i4>5</vt:i4>
      </vt:variant>
      <vt:variant>
        <vt:lpwstr>http://www.hmso.gov.uk/acts/acts1998/19980017.htm</vt:lpwstr>
      </vt:variant>
      <vt:variant>
        <vt:lpwstr/>
      </vt:variant>
      <vt:variant>
        <vt:i4>5308497</vt:i4>
      </vt:variant>
      <vt:variant>
        <vt:i4>231</vt:i4>
      </vt:variant>
      <vt:variant>
        <vt:i4>0</vt:i4>
      </vt:variant>
      <vt:variant>
        <vt:i4>5</vt:i4>
      </vt:variant>
      <vt:variant>
        <vt:lpwstr>http://www.detini.gov.uk/</vt:lpwstr>
      </vt:variant>
      <vt:variant>
        <vt:lpwstr/>
      </vt:variant>
      <vt:variant>
        <vt:i4>3997770</vt:i4>
      </vt:variant>
      <vt:variant>
        <vt:i4>228</vt:i4>
      </vt:variant>
      <vt:variant>
        <vt:i4>0</vt:i4>
      </vt:variant>
      <vt:variant>
        <vt:i4>5</vt:i4>
      </vt:variant>
      <vt:variant>
        <vt:lpwstr/>
      </vt:variant>
      <vt:variant>
        <vt:lpwstr>_Further_enquiries:_contacts</vt:lpwstr>
      </vt:variant>
      <vt:variant>
        <vt:i4>2555956</vt:i4>
      </vt:variant>
      <vt:variant>
        <vt:i4>225</vt:i4>
      </vt:variant>
      <vt:variant>
        <vt:i4>0</vt:i4>
      </vt:variant>
      <vt:variant>
        <vt:i4>5</vt:i4>
      </vt:variant>
      <vt:variant>
        <vt:lpwstr>http://www.og.decc.gov.uk/</vt:lpwstr>
      </vt:variant>
      <vt:variant>
        <vt:lpwstr/>
      </vt:variant>
      <vt:variant>
        <vt:i4>1441845</vt:i4>
      </vt:variant>
      <vt:variant>
        <vt:i4>218</vt:i4>
      </vt:variant>
      <vt:variant>
        <vt:i4>0</vt:i4>
      </vt:variant>
      <vt:variant>
        <vt:i4>5</vt:i4>
      </vt:variant>
      <vt:variant>
        <vt:lpwstr/>
      </vt:variant>
      <vt:variant>
        <vt:lpwstr>_Toc190756196</vt:lpwstr>
      </vt:variant>
      <vt:variant>
        <vt:i4>1441845</vt:i4>
      </vt:variant>
      <vt:variant>
        <vt:i4>212</vt:i4>
      </vt:variant>
      <vt:variant>
        <vt:i4>0</vt:i4>
      </vt:variant>
      <vt:variant>
        <vt:i4>5</vt:i4>
      </vt:variant>
      <vt:variant>
        <vt:lpwstr/>
      </vt:variant>
      <vt:variant>
        <vt:lpwstr>_Toc190756195</vt:lpwstr>
      </vt:variant>
      <vt:variant>
        <vt:i4>1441845</vt:i4>
      </vt:variant>
      <vt:variant>
        <vt:i4>206</vt:i4>
      </vt:variant>
      <vt:variant>
        <vt:i4>0</vt:i4>
      </vt:variant>
      <vt:variant>
        <vt:i4>5</vt:i4>
      </vt:variant>
      <vt:variant>
        <vt:lpwstr/>
      </vt:variant>
      <vt:variant>
        <vt:lpwstr>_Toc190756194</vt:lpwstr>
      </vt:variant>
      <vt:variant>
        <vt:i4>1441845</vt:i4>
      </vt:variant>
      <vt:variant>
        <vt:i4>200</vt:i4>
      </vt:variant>
      <vt:variant>
        <vt:i4>0</vt:i4>
      </vt:variant>
      <vt:variant>
        <vt:i4>5</vt:i4>
      </vt:variant>
      <vt:variant>
        <vt:lpwstr/>
      </vt:variant>
      <vt:variant>
        <vt:lpwstr>_Toc190756193</vt:lpwstr>
      </vt:variant>
      <vt:variant>
        <vt:i4>1441845</vt:i4>
      </vt:variant>
      <vt:variant>
        <vt:i4>194</vt:i4>
      </vt:variant>
      <vt:variant>
        <vt:i4>0</vt:i4>
      </vt:variant>
      <vt:variant>
        <vt:i4>5</vt:i4>
      </vt:variant>
      <vt:variant>
        <vt:lpwstr/>
      </vt:variant>
      <vt:variant>
        <vt:lpwstr>_Toc190756192</vt:lpwstr>
      </vt:variant>
      <vt:variant>
        <vt:i4>1441845</vt:i4>
      </vt:variant>
      <vt:variant>
        <vt:i4>188</vt:i4>
      </vt:variant>
      <vt:variant>
        <vt:i4>0</vt:i4>
      </vt:variant>
      <vt:variant>
        <vt:i4>5</vt:i4>
      </vt:variant>
      <vt:variant>
        <vt:lpwstr/>
      </vt:variant>
      <vt:variant>
        <vt:lpwstr>_Toc190756191</vt:lpwstr>
      </vt:variant>
      <vt:variant>
        <vt:i4>1441845</vt:i4>
      </vt:variant>
      <vt:variant>
        <vt:i4>182</vt:i4>
      </vt:variant>
      <vt:variant>
        <vt:i4>0</vt:i4>
      </vt:variant>
      <vt:variant>
        <vt:i4>5</vt:i4>
      </vt:variant>
      <vt:variant>
        <vt:lpwstr/>
      </vt:variant>
      <vt:variant>
        <vt:lpwstr>_Toc190756190</vt:lpwstr>
      </vt:variant>
      <vt:variant>
        <vt:i4>1507381</vt:i4>
      </vt:variant>
      <vt:variant>
        <vt:i4>176</vt:i4>
      </vt:variant>
      <vt:variant>
        <vt:i4>0</vt:i4>
      </vt:variant>
      <vt:variant>
        <vt:i4>5</vt:i4>
      </vt:variant>
      <vt:variant>
        <vt:lpwstr/>
      </vt:variant>
      <vt:variant>
        <vt:lpwstr>_Toc190756189</vt:lpwstr>
      </vt:variant>
      <vt:variant>
        <vt:i4>1507381</vt:i4>
      </vt:variant>
      <vt:variant>
        <vt:i4>170</vt:i4>
      </vt:variant>
      <vt:variant>
        <vt:i4>0</vt:i4>
      </vt:variant>
      <vt:variant>
        <vt:i4>5</vt:i4>
      </vt:variant>
      <vt:variant>
        <vt:lpwstr/>
      </vt:variant>
      <vt:variant>
        <vt:lpwstr>_Toc190756188</vt:lpwstr>
      </vt:variant>
      <vt:variant>
        <vt:i4>1507381</vt:i4>
      </vt:variant>
      <vt:variant>
        <vt:i4>164</vt:i4>
      </vt:variant>
      <vt:variant>
        <vt:i4>0</vt:i4>
      </vt:variant>
      <vt:variant>
        <vt:i4>5</vt:i4>
      </vt:variant>
      <vt:variant>
        <vt:lpwstr/>
      </vt:variant>
      <vt:variant>
        <vt:lpwstr>_Toc190756187</vt:lpwstr>
      </vt:variant>
      <vt:variant>
        <vt:i4>1507381</vt:i4>
      </vt:variant>
      <vt:variant>
        <vt:i4>158</vt:i4>
      </vt:variant>
      <vt:variant>
        <vt:i4>0</vt:i4>
      </vt:variant>
      <vt:variant>
        <vt:i4>5</vt:i4>
      </vt:variant>
      <vt:variant>
        <vt:lpwstr/>
      </vt:variant>
      <vt:variant>
        <vt:lpwstr>_Toc190756186</vt:lpwstr>
      </vt:variant>
      <vt:variant>
        <vt:i4>1507381</vt:i4>
      </vt:variant>
      <vt:variant>
        <vt:i4>152</vt:i4>
      </vt:variant>
      <vt:variant>
        <vt:i4>0</vt:i4>
      </vt:variant>
      <vt:variant>
        <vt:i4>5</vt:i4>
      </vt:variant>
      <vt:variant>
        <vt:lpwstr/>
      </vt:variant>
      <vt:variant>
        <vt:lpwstr>_Toc190756185</vt:lpwstr>
      </vt:variant>
      <vt:variant>
        <vt:i4>1507381</vt:i4>
      </vt:variant>
      <vt:variant>
        <vt:i4>146</vt:i4>
      </vt:variant>
      <vt:variant>
        <vt:i4>0</vt:i4>
      </vt:variant>
      <vt:variant>
        <vt:i4>5</vt:i4>
      </vt:variant>
      <vt:variant>
        <vt:lpwstr/>
      </vt:variant>
      <vt:variant>
        <vt:lpwstr>_Toc190756184</vt:lpwstr>
      </vt:variant>
      <vt:variant>
        <vt:i4>1507381</vt:i4>
      </vt:variant>
      <vt:variant>
        <vt:i4>140</vt:i4>
      </vt:variant>
      <vt:variant>
        <vt:i4>0</vt:i4>
      </vt:variant>
      <vt:variant>
        <vt:i4>5</vt:i4>
      </vt:variant>
      <vt:variant>
        <vt:lpwstr/>
      </vt:variant>
      <vt:variant>
        <vt:lpwstr>_Toc190756183</vt:lpwstr>
      </vt:variant>
      <vt:variant>
        <vt:i4>1507381</vt:i4>
      </vt:variant>
      <vt:variant>
        <vt:i4>134</vt:i4>
      </vt:variant>
      <vt:variant>
        <vt:i4>0</vt:i4>
      </vt:variant>
      <vt:variant>
        <vt:i4>5</vt:i4>
      </vt:variant>
      <vt:variant>
        <vt:lpwstr/>
      </vt:variant>
      <vt:variant>
        <vt:lpwstr>_Toc190756182</vt:lpwstr>
      </vt:variant>
      <vt:variant>
        <vt:i4>1507381</vt:i4>
      </vt:variant>
      <vt:variant>
        <vt:i4>128</vt:i4>
      </vt:variant>
      <vt:variant>
        <vt:i4>0</vt:i4>
      </vt:variant>
      <vt:variant>
        <vt:i4>5</vt:i4>
      </vt:variant>
      <vt:variant>
        <vt:lpwstr/>
      </vt:variant>
      <vt:variant>
        <vt:lpwstr>_Toc190756181</vt:lpwstr>
      </vt:variant>
      <vt:variant>
        <vt:i4>1507381</vt:i4>
      </vt:variant>
      <vt:variant>
        <vt:i4>122</vt:i4>
      </vt:variant>
      <vt:variant>
        <vt:i4>0</vt:i4>
      </vt:variant>
      <vt:variant>
        <vt:i4>5</vt:i4>
      </vt:variant>
      <vt:variant>
        <vt:lpwstr/>
      </vt:variant>
      <vt:variant>
        <vt:lpwstr>_Toc190756180</vt:lpwstr>
      </vt:variant>
      <vt:variant>
        <vt:i4>1572917</vt:i4>
      </vt:variant>
      <vt:variant>
        <vt:i4>116</vt:i4>
      </vt:variant>
      <vt:variant>
        <vt:i4>0</vt:i4>
      </vt:variant>
      <vt:variant>
        <vt:i4>5</vt:i4>
      </vt:variant>
      <vt:variant>
        <vt:lpwstr/>
      </vt:variant>
      <vt:variant>
        <vt:lpwstr>_Toc190756179</vt:lpwstr>
      </vt:variant>
      <vt:variant>
        <vt:i4>1572917</vt:i4>
      </vt:variant>
      <vt:variant>
        <vt:i4>110</vt:i4>
      </vt:variant>
      <vt:variant>
        <vt:i4>0</vt:i4>
      </vt:variant>
      <vt:variant>
        <vt:i4>5</vt:i4>
      </vt:variant>
      <vt:variant>
        <vt:lpwstr/>
      </vt:variant>
      <vt:variant>
        <vt:lpwstr>_Toc190756178</vt:lpwstr>
      </vt:variant>
      <vt:variant>
        <vt:i4>1572917</vt:i4>
      </vt:variant>
      <vt:variant>
        <vt:i4>104</vt:i4>
      </vt:variant>
      <vt:variant>
        <vt:i4>0</vt:i4>
      </vt:variant>
      <vt:variant>
        <vt:i4>5</vt:i4>
      </vt:variant>
      <vt:variant>
        <vt:lpwstr/>
      </vt:variant>
      <vt:variant>
        <vt:lpwstr>_Toc190756177</vt:lpwstr>
      </vt:variant>
      <vt:variant>
        <vt:i4>1572917</vt:i4>
      </vt:variant>
      <vt:variant>
        <vt:i4>98</vt:i4>
      </vt:variant>
      <vt:variant>
        <vt:i4>0</vt:i4>
      </vt:variant>
      <vt:variant>
        <vt:i4>5</vt:i4>
      </vt:variant>
      <vt:variant>
        <vt:lpwstr/>
      </vt:variant>
      <vt:variant>
        <vt:lpwstr>_Toc190756176</vt:lpwstr>
      </vt:variant>
      <vt:variant>
        <vt:i4>1572917</vt:i4>
      </vt:variant>
      <vt:variant>
        <vt:i4>92</vt:i4>
      </vt:variant>
      <vt:variant>
        <vt:i4>0</vt:i4>
      </vt:variant>
      <vt:variant>
        <vt:i4>5</vt:i4>
      </vt:variant>
      <vt:variant>
        <vt:lpwstr/>
      </vt:variant>
      <vt:variant>
        <vt:lpwstr>_Toc190756175</vt:lpwstr>
      </vt:variant>
      <vt:variant>
        <vt:i4>1572917</vt:i4>
      </vt:variant>
      <vt:variant>
        <vt:i4>86</vt:i4>
      </vt:variant>
      <vt:variant>
        <vt:i4>0</vt:i4>
      </vt:variant>
      <vt:variant>
        <vt:i4>5</vt:i4>
      </vt:variant>
      <vt:variant>
        <vt:lpwstr/>
      </vt:variant>
      <vt:variant>
        <vt:lpwstr>_Toc190756174</vt:lpwstr>
      </vt:variant>
      <vt:variant>
        <vt:i4>1572917</vt:i4>
      </vt:variant>
      <vt:variant>
        <vt:i4>80</vt:i4>
      </vt:variant>
      <vt:variant>
        <vt:i4>0</vt:i4>
      </vt:variant>
      <vt:variant>
        <vt:i4>5</vt:i4>
      </vt:variant>
      <vt:variant>
        <vt:lpwstr/>
      </vt:variant>
      <vt:variant>
        <vt:lpwstr>_Toc190756173</vt:lpwstr>
      </vt:variant>
      <vt:variant>
        <vt:i4>1572917</vt:i4>
      </vt:variant>
      <vt:variant>
        <vt:i4>74</vt:i4>
      </vt:variant>
      <vt:variant>
        <vt:i4>0</vt:i4>
      </vt:variant>
      <vt:variant>
        <vt:i4>5</vt:i4>
      </vt:variant>
      <vt:variant>
        <vt:lpwstr/>
      </vt:variant>
      <vt:variant>
        <vt:lpwstr>_Toc190756172</vt:lpwstr>
      </vt:variant>
      <vt:variant>
        <vt:i4>1572917</vt:i4>
      </vt:variant>
      <vt:variant>
        <vt:i4>68</vt:i4>
      </vt:variant>
      <vt:variant>
        <vt:i4>0</vt:i4>
      </vt:variant>
      <vt:variant>
        <vt:i4>5</vt:i4>
      </vt:variant>
      <vt:variant>
        <vt:lpwstr/>
      </vt:variant>
      <vt:variant>
        <vt:lpwstr>_Toc190756171</vt:lpwstr>
      </vt:variant>
      <vt:variant>
        <vt:i4>1572917</vt:i4>
      </vt:variant>
      <vt:variant>
        <vt:i4>62</vt:i4>
      </vt:variant>
      <vt:variant>
        <vt:i4>0</vt:i4>
      </vt:variant>
      <vt:variant>
        <vt:i4>5</vt:i4>
      </vt:variant>
      <vt:variant>
        <vt:lpwstr/>
      </vt:variant>
      <vt:variant>
        <vt:lpwstr>_Toc190756170</vt:lpwstr>
      </vt:variant>
      <vt:variant>
        <vt:i4>1638453</vt:i4>
      </vt:variant>
      <vt:variant>
        <vt:i4>56</vt:i4>
      </vt:variant>
      <vt:variant>
        <vt:i4>0</vt:i4>
      </vt:variant>
      <vt:variant>
        <vt:i4>5</vt:i4>
      </vt:variant>
      <vt:variant>
        <vt:lpwstr/>
      </vt:variant>
      <vt:variant>
        <vt:lpwstr>_Toc190756169</vt:lpwstr>
      </vt:variant>
      <vt:variant>
        <vt:i4>1638453</vt:i4>
      </vt:variant>
      <vt:variant>
        <vt:i4>50</vt:i4>
      </vt:variant>
      <vt:variant>
        <vt:i4>0</vt:i4>
      </vt:variant>
      <vt:variant>
        <vt:i4>5</vt:i4>
      </vt:variant>
      <vt:variant>
        <vt:lpwstr/>
      </vt:variant>
      <vt:variant>
        <vt:lpwstr>_Toc190756168</vt:lpwstr>
      </vt:variant>
      <vt:variant>
        <vt:i4>1638453</vt:i4>
      </vt:variant>
      <vt:variant>
        <vt:i4>44</vt:i4>
      </vt:variant>
      <vt:variant>
        <vt:i4>0</vt:i4>
      </vt:variant>
      <vt:variant>
        <vt:i4>5</vt:i4>
      </vt:variant>
      <vt:variant>
        <vt:lpwstr/>
      </vt:variant>
      <vt:variant>
        <vt:lpwstr>_Toc190756167</vt:lpwstr>
      </vt:variant>
      <vt:variant>
        <vt:i4>1638453</vt:i4>
      </vt:variant>
      <vt:variant>
        <vt:i4>38</vt:i4>
      </vt:variant>
      <vt:variant>
        <vt:i4>0</vt:i4>
      </vt:variant>
      <vt:variant>
        <vt:i4>5</vt:i4>
      </vt:variant>
      <vt:variant>
        <vt:lpwstr/>
      </vt:variant>
      <vt:variant>
        <vt:lpwstr>_Toc190756166</vt:lpwstr>
      </vt:variant>
      <vt:variant>
        <vt:i4>1638453</vt:i4>
      </vt:variant>
      <vt:variant>
        <vt:i4>32</vt:i4>
      </vt:variant>
      <vt:variant>
        <vt:i4>0</vt:i4>
      </vt:variant>
      <vt:variant>
        <vt:i4>5</vt:i4>
      </vt:variant>
      <vt:variant>
        <vt:lpwstr/>
      </vt:variant>
      <vt:variant>
        <vt:lpwstr>_Toc190756165</vt:lpwstr>
      </vt:variant>
      <vt:variant>
        <vt:i4>1638453</vt:i4>
      </vt:variant>
      <vt:variant>
        <vt:i4>26</vt:i4>
      </vt:variant>
      <vt:variant>
        <vt:i4>0</vt:i4>
      </vt:variant>
      <vt:variant>
        <vt:i4>5</vt:i4>
      </vt:variant>
      <vt:variant>
        <vt:lpwstr/>
      </vt:variant>
      <vt:variant>
        <vt:lpwstr>_Toc190756164</vt:lpwstr>
      </vt:variant>
      <vt:variant>
        <vt:i4>1638453</vt:i4>
      </vt:variant>
      <vt:variant>
        <vt:i4>20</vt:i4>
      </vt:variant>
      <vt:variant>
        <vt:i4>0</vt:i4>
      </vt:variant>
      <vt:variant>
        <vt:i4>5</vt:i4>
      </vt:variant>
      <vt:variant>
        <vt:lpwstr/>
      </vt:variant>
      <vt:variant>
        <vt:lpwstr>_Toc190756163</vt:lpwstr>
      </vt:variant>
      <vt:variant>
        <vt:i4>1638453</vt:i4>
      </vt:variant>
      <vt:variant>
        <vt:i4>14</vt:i4>
      </vt:variant>
      <vt:variant>
        <vt:i4>0</vt:i4>
      </vt:variant>
      <vt:variant>
        <vt:i4>5</vt:i4>
      </vt:variant>
      <vt:variant>
        <vt:lpwstr/>
      </vt:variant>
      <vt:variant>
        <vt:lpwstr>_Toc190756162</vt:lpwstr>
      </vt:variant>
      <vt:variant>
        <vt:i4>1638453</vt:i4>
      </vt:variant>
      <vt:variant>
        <vt:i4>8</vt:i4>
      </vt:variant>
      <vt:variant>
        <vt:i4>0</vt:i4>
      </vt:variant>
      <vt:variant>
        <vt:i4>5</vt:i4>
      </vt:variant>
      <vt:variant>
        <vt:lpwstr/>
      </vt:variant>
      <vt:variant>
        <vt:lpwstr>_Toc190756161</vt:lpwstr>
      </vt:variant>
      <vt:variant>
        <vt:i4>1638453</vt:i4>
      </vt:variant>
      <vt:variant>
        <vt:i4>2</vt:i4>
      </vt:variant>
      <vt:variant>
        <vt:i4>0</vt:i4>
      </vt:variant>
      <vt:variant>
        <vt:i4>5</vt:i4>
      </vt:variant>
      <vt:variant>
        <vt:lpwstr/>
      </vt:variant>
      <vt:variant>
        <vt:lpwstr>_Toc190756160</vt:lpwstr>
      </vt:variant>
      <vt:variant>
        <vt:i4>3407969</vt:i4>
      </vt:variant>
      <vt:variant>
        <vt:i4>30</vt:i4>
      </vt:variant>
      <vt:variant>
        <vt:i4>0</vt:i4>
      </vt:variant>
      <vt:variant>
        <vt:i4>5</vt:i4>
      </vt:variant>
      <vt:variant>
        <vt:lpwstr>http://www.og.decc.gov.uk/upstream/licensing/index.htm</vt:lpwstr>
      </vt:variant>
      <vt:variant>
        <vt:lpwstr/>
      </vt:variant>
      <vt:variant>
        <vt:i4>3342393</vt:i4>
      </vt:variant>
      <vt:variant>
        <vt:i4>27</vt:i4>
      </vt:variant>
      <vt:variant>
        <vt:i4>0</vt:i4>
      </vt:variant>
      <vt:variant>
        <vt:i4>5</vt:i4>
      </vt:variant>
      <vt:variant>
        <vt:lpwstr>http://www.ukooa.co.uk/issues/environment/index.htm</vt:lpwstr>
      </vt:variant>
      <vt:variant>
        <vt:lpwstr/>
      </vt:variant>
      <vt:variant>
        <vt:i4>1835026</vt:i4>
      </vt:variant>
      <vt:variant>
        <vt:i4>24</vt:i4>
      </vt:variant>
      <vt:variant>
        <vt:i4>0</vt:i4>
      </vt:variant>
      <vt:variant>
        <vt:i4>5</vt:i4>
      </vt:variant>
      <vt:variant>
        <vt:lpwstr>http://www.jncc.gov.uk/page-3</vt:lpwstr>
      </vt:variant>
      <vt:variant>
        <vt:lpwstr/>
      </vt:variant>
      <vt:variant>
        <vt:i4>2949213</vt:i4>
      </vt:variant>
      <vt:variant>
        <vt:i4>21</vt:i4>
      </vt:variant>
      <vt:variant>
        <vt:i4>0</vt:i4>
      </vt:variant>
      <vt:variant>
        <vt:i4>5</vt:i4>
      </vt:variant>
      <vt:variant>
        <vt:lpwstr>http://www.offshore-sea.org.uk/site/scripts/documents_info.php?documentID=28</vt:lpwstr>
      </vt:variant>
      <vt:variant>
        <vt:lpwstr/>
      </vt:variant>
      <vt:variant>
        <vt:i4>786438</vt:i4>
      </vt:variant>
      <vt:variant>
        <vt:i4>18</vt:i4>
      </vt:variant>
      <vt:variant>
        <vt:i4>0</vt:i4>
      </vt:variant>
      <vt:variant>
        <vt:i4>5</vt:i4>
      </vt:variant>
      <vt:variant>
        <vt:lpwstr>http://www.offshore-sea.org.uk/site/index.php</vt:lpwstr>
      </vt:variant>
      <vt:variant>
        <vt:lpwstr/>
      </vt:variant>
      <vt:variant>
        <vt:i4>3276855</vt:i4>
      </vt:variant>
      <vt:variant>
        <vt:i4>15</vt:i4>
      </vt:variant>
      <vt:variant>
        <vt:i4>0</vt:i4>
      </vt:variant>
      <vt:variant>
        <vt:i4>5</vt:i4>
      </vt:variant>
      <vt:variant>
        <vt:lpwstr>http://www.og.decc.gov.uk/environment/index.htm</vt:lpwstr>
      </vt:variant>
      <vt:variant>
        <vt:lpwstr/>
      </vt:variant>
      <vt:variant>
        <vt:i4>8257655</vt:i4>
      </vt:variant>
      <vt:variant>
        <vt:i4>12</vt:i4>
      </vt:variant>
      <vt:variant>
        <vt:i4>0</vt:i4>
      </vt:variant>
      <vt:variant>
        <vt:i4>5</vt:i4>
      </vt:variant>
      <vt:variant>
        <vt:lpwstr>http://www.og.decc.gov.uk/environment/ospar_ems_recomm.htm</vt:lpwstr>
      </vt:variant>
      <vt:variant>
        <vt:lpwstr/>
      </vt:variant>
      <vt:variant>
        <vt:i4>5111838</vt:i4>
      </vt:variant>
      <vt:variant>
        <vt:i4>9</vt:i4>
      </vt:variant>
      <vt:variant>
        <vt:i4>0</vt:i4>
      </vt:variant>
      <vt:variant>
        <vt:i4>5</vt:i4>
      </vt:variant>
      <vt:variant>
        <vt:lpwstr>http://www.ospar.org/</vt:lpwstr>
      </vt:variant>
      <vt:variant>
        <vt:lpwstr/>
      </vt:variant>
      <vt:variant>
        <vt:i4>5242999</vt:i4>
      </vt:variant>
      <vt:variant>
        <vt:i4>6</vt:i4>
      </vt:variant>
      <vt:variant>
        <vt:i4>0</vt:i4>
      </vt:variant>
      <vt:variant>
        <vt:i4>5</vt:i4>
      </vt:variant>
      <vt:variant>
        <vt:lpwstr>http://www.europa.eu.int/comm/environment/index_en.htm</vt:lpwstr>
      </vt:variant>
      <vt:variant>
        <vt:lpwstr/>
      </vt:variant>
      <vt:variant>
        <vt:i4>3276855</vt:i4>
      </vt:variant>
      <vt:variant>
        <vt:i4>3</vt:i4>
      </vt:variant>
      <vt:variant>
        <vt:i4>0</vt:i4>
      </vt:variant>
      <vt:variant>
        <vt:i4>5</vt:i4>
      </vt:variant>
      <vt:variant>
        <vt:lpwstr>http://www.og.decc.gov.uk/environment/index.htm</vt:lpwstr>
      </vt:variant>
      <vt:variant>
        <vt:lpwstr/>
      </vt:variant>
      <vt:variant>
        <vt:i4>3276849</vt:i4>
      </vt:variant>
      <vt:variant>
        <vt:i4>0</vt:i4>
      </vt:variant>
      <vt:variant>
        <vt:i4>0</vt:i4>
      </vt:variant>
      <vt:variant>
        <vt:i4>5</vt:i4>
      </vt:variant>
      <vt:variant>
        <vt:lpwstr>http://www.opol.org.uk/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 ON THE PRESENTATION OF INFORMATION TO SUPPORT AN APPLICATION</dc:title>
  <dc:subject>18TH OIL AND GAS LICENSING ROUND</dc:subject>
  <dc:creator>hawkin</dc:creator>
  <cp:lastModifiedBy>Chrissie Innes (Oil &amp; Gas Authority)</cp:lastModifiedBy>
  <cp:revision>2</cp:revision>
  <cp:lastPrinted>2017-07-04T12:02:00Z</cp:lastPrinted>
  <dcterms:created xsi:type="dcterms:W3CDTF">2018-07-09T12:45:00Z</dcterms:created>
  <dcterms:modified xsi:type="dcterms:W3CDTF">2018-07-09T12:45:00Z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e751f451-9de4-44e2-b7b8-597422d37f02</vt:lpwstr>
  </property>
  <property fmtid="{D5CDD505-2E9C-101B-9397-08002B2CF9AE}" pid="3" name="ContentTypeId">
    <vt:lpwstr>0x010100683CF72336028945B5410044B3C703BB0100C7E802F149A6FB41BF7081D7B0BF0CC7</vt:lpwstr>
  </property>
  <property fmtid="{D5CDD505-2E9C-101B-9397-08002B2CF9AE}" pid="4" name="DECC Team">
    <vt:lpwstr/>
  </property>
  <property fmtid="{D5CDD505-2E9C-101B-9397-08002B2CF9AE}" pid="5" name="Retention Schedule">
    <vt:lpwstr/>
  </property>
  <property fmtid="{D5CDD505-2E9C-101B-9397-08002B2CF9AE}" pid="6" name="Physical Item Location">
    <vt:lpwstr/>
  </property>
  <property fmtid="{D5CDD505-2E9C-101B-9397-08002B2CF9AE}" pid="7" name="dlc_EmailTo">
    <vt:lpwstr/>
  </property>
  <property fmtid="{D5CDD505-2E9C-101B-9397-08002B2CF9AE}" pid="8" name="Document Security Classification">
    <vt:lpwstr>Official</vt:lpwstr>
  </property>
  <property fmtid="{D5CDD505-2E9C-101B-9397-08002B2CF9AE}" pid="9" name="Barcode">
    <vt:lpwstr/>
  </property>
  <property fmtid="{D5CDD505-2E9C-101B-9397-08002B2CF9AE}" pid="10" name="Linked Folders">
    <vt:lpwstr/>
  </property>
  <property fmtid="{D5CDD505-2E9C-101B-9397-08002B2CF9AE}" pid="11" name="Minister's Case Number">
    <vt:lpwstr/>
  </property>
  <property fmtid="{D5CDD505-2E9C-101B-9397-08002B2CF9AE}" pid="12" name="_dlc_DocIdUrl">
    <vt:lpwstr>https://edrms.decc.gsi.gov.uk/oga/enp/LZU/_layouts/15/DocIdRedir.aspx?ID=DECCOGA-63-24584, DECCOGA-63-24584</vt:lpwstr>
  </property>
  <property fmtid="{D5CDD505-2E9C-101B-9397-08002B2CF9AE}" pid="13" name="Class Notes">
    <vt:lpwstr/>
  </property>
  <property fmtid="{D5CDD505-2E9C-101B-9397-08002B2CF9AE}" pid="14" name="Security Classification">
    <vt:lpwstr/>
  </property>
  <property fmtid="{D5CDD505-2E9C-101B-9397-08002B2CF9AE}" pid="15" name="Notes1">
    <vt:lpwstr/>
  </property>
  <property fmtid="{D5CDD505-2E9C-101B-9397-08002B2CF9AE}" pid="16" name="Home Location">
    <vt:lpwstr/>
  </property>
  <property fmtid="{D5CDD505-2E9C-101B-9397-08002B2CF9AE}" pid="17" name="dlc_EmailFrom">
    <vt:lpwstr/>
  </property>
  <property fmtid="{D5CDD505-2E9C-101B-9397-08002B2CF9AE}" pid="18" name="Paper File">
    <vt:bool>false</vt:bool>
  </property>
  <property fmtid="{D5CDD505-2E9C-101B-9397-08002B2CF9AE}" pid="19" name="PQ Number">
    <vt:lpwstr/>
  </property>
  <property fmtid="{D5CDD505-2E9C-101B-9397-08002B2CF9AE}" pid="20" name="dlc_EmailCC">
    <vt:lpwstr/>
  </property>
  <property fmtid="{D5CDD505-2E9C-101B-9397-08002B2CF9AE}" pid="21" name="Schedule Number">
    <vt:lpwstr/>
  </property>
  <property fmtid="{D5CDD505-2E9C-101B-9397-08002B2CF9AE}" pid="22" name="dlc_EmailSubject">
    <vt:lpwstr/>
  </property>
  <property fmtid="{D5CDD505-2E9C-101B-9397-08002B2CF9AE}" pid="23" name="Non-Matrix Author">
    <vt:lpwstr/>
  </property>
  <property fmtid="{D5CDD505-2E9C-101B-9397-08002B2CF9AE}" pid="24" name="TRIM Barcode">
    <vt:lpwstr/>
  </property>
  <property fmtid="{D5CDD505-2E9C-101B-9397-08002B2CF9AE}" pid="25" name="Old ISBN">
    <vt:lpwstr/>
  </property>
  <property fmtid="{D5CDD505-2E9C-101B-9397-08002B2CF9AE}" pid="26" name="Related Records">
    <vt:lpwstr/>
  </property>
  <property fmtid="{D5CDD505-2E9C-101B-9397-08002B2CF9AE}" pid="27" name="Matrix Title">
    <vt:lpwstr/>
  </property>
  <property fmtid="{D5CDD505-2E9C-101B-9397-08002B2CF9AE}" pid="28" name="Document Number">
    <vt:lpwstr/>
  </property>
  <property fmtid="{D5CDD505-2E9C-101B-9397-08002B2CF9AE}" pid="29" name="Descriptor">
    <vt:lpwstr/>
  </property>
  <property fmtid="{D5CDD505-2E9C-101B-9397-08002B2CF9AE}" pid="30" name="Protective Marking">
    <vt:lpwstr/>
  </property>
  <property fmtid="{D5CDD505-2E9C-101B-9397-08002B2CF9AE}" pid="31" name="Alternative Folders">
    <vt:lpwstr/>
  </property>
  <property fmtid="{D5CDD505-2E9C-101B-9397-08002B2CF9AE}" pid="32" name="Record Type">
    <vt:lpwstr/>
  </property>
  <property fmtid="{D5CDD505-2E9C-101B-9397-08002B2CF9AE}" pid="33" name="ISSN">
    <vt:lpwstr/>
  </property>
  <property fmtid="{D5CDD505-2E9C-101B-9397-08002B2CF9AE}" pid="34" name="Old ISSN">
    <vt:lpwstr/>
  </property>
  <property fmtid="{D5CDD505-2E9C-101B-9397-08002B2CF9AE}" pid="35" name="Foreign Barcode">
    <vt:lpwstr/>
  </property>
  <property fmtid="{D5CDD505-2E9C-101B-9397-08002B2CF9AE}" pid="36" name="Physical Format">
    <vt:lpwstr/>
  </property>
  <property fmtid="{D5CDD505-2E9C-101B-9397-08002B2CF9AE}" pid="37" name="URN">
    <vt:lpwstr/>
  </property>
  <property fmtid="{D5CDD505-2E9C-101B-9397-08002B2CF9AE}" pid="38" name="Matrix Author">
    <vt:lpwstr/>
  </property>
  <property fmtid="{D5CDD505-2E9C-101B-9397-08002B2CF9AE}" pid="39" name="ISBN">
    <vt:lpwstr/>
  </property>
  <property fmtid="{D5CDD505-2E9C-101B-9397-08002B2CF9AE}" pid="40" name="Owner Location">
    <vt:lpwstr/>
  </property>
  <property fmtid="{D5CDD505-2E9C-101B-9397-08002B2CF9AE}" pid="41" name="Registered By">
    <vt:lpwstr/>
  </property>
</Properties>
</file>