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3466F" w14:textId="77777777" w:rsidR="00372D29" w:rsidRPr="00372D29" w:rsidRDefault="00372D29" w:rsidP="00372D29">
      <w:pPr>
        <w:spacing w:line="240" w:lineRule="auto"/>
        <w:rPr>
          <w:b/>
          <w:sz w:val="22"/>
          <w:szCs w:val="22"/>
        </w:rPr>
      </w:pPr>
      <w:bookmarkStart w:id="0" w:name="_GoBack"/>
      <w:bookmarkEnd w:id="0"/>
      <w:r w:rsidRPr="00372D29">
        <w:rPr>
          <w:b/>
          <w:sz w:val="22"/>
          <w:szCs w:val="22"/>
        </w:rPr>
        <w:t>Supplementary 31</w:t>
      </w:r>
      <w:r w:rsidRPr="00372D29">
        <w:rPr>
          <w:b/>
          <w:sz w:val="22"/>
          <w:szCs w:val="22"/>
          <w:vertAlign w:val="superscript"/>
        </w:rPr>
        <w:t>st</w:t>
      </w:r>
      <w:r w:rsidRPr="00372D29">
        <w:rPr>
          <w:b/>
          <w:sz w:val="22"/>
          <w:szCs w:val="22"/>
        </w:rPr>
        <w:t xml:space="preserve"> Round offers exceptional opportunity for Greater Buchan Area revival</w:t>
      </w:r>
    </w:p>
    <w:p w14:paraId="4F14ED28" w14:textId="2CB5B207" w:rsidR="00372D29" w:rsidRPr="00372D29" w:rsidRDefault="00014414" w:rsidP="00372D29">
      <w:pPr>
        <w:numPr>
          <w:ilvl w:val="0"/>
          <w:numId w:val="21"/>
        </w:numPr>
        <w:spacing w:line="240" w:lineRule="auto"/>
        <w:rPr>
          <w:b/>
          <w:sz w:val="22"/>
          <w:szCs w:val="22"/>
        </w:rPr>
      </w:pPr>
      <w:hyperlink r:id="rId8" w:history="1">
        <w:r w:rsidR="00372D29" w:rsidRPr="00372D29">
          <w:rPr>
            <w:rStyle w:val="Hyperlink"/>
            <w:sz w:val="22"/>
            <w:szCs w:val="22"/>
          </w:rPr>
          <w:t>Greater Buchan Area map</w:t>
        </w:r>
      </w:hyperlink>
    </w:p>
    <w:p w14:paraId="70DAE9E0" w14:textId="77777777" w:rsidR="00372D29" w:rsidRPr="00372D29" w:rsidRDefault="00372D29" w:rsidP="00372D29">
      <w:pPr>
        <w:spacing w:line="240" w:lineRule="auto"/>
        <w:rPr>
          <w:sz w:val="22"/>
          <w:szCs w:val="22"/>
        </w:rPr>
      </w:pPr>
      <w:r w:rsidRPr="00372D29">
        <w:rPr>
          <w:sz w:val="22"/>
          <w:szCs w:val="22"/>
        </w:rPr>
        <w:t>The Oil and Gas Authority (OGA) has launched the Supplementary 31</w:t>
      </w:r>
      <w:r w:rsidRPr="00372D29">
        <w:rPr>
          <w:sz w:val="22"/>
          <w:szCs w:val="22"/>
          <w:vertAlign w:val="superscript"/>
        </w:rPr>
        <w:t>st</w:t>
      </w:r>
      <w:r w:rsidRPr="00372D29">
        <w:rPr>
          <w:sz w:val="22"/>
          <w:szCs w:val="22"/>
        </w:rPr>
        <w:t xml:space="preserve"> Offshore Licensing Round, presenting an exceptional opportunity for oil and gas companies to collaborate to maximise economic recovery of up to 300 million barrels of oil equivalent (mmboe) in the Greater Buchan Area.</w:t>
      </w:r>
    </w:p>
    <w:p w14:paraId="194B281E" w14:textId="77777777" w:rsidR="00372D29" w:rsidRPr="00372D29" w:rsidRDefault="00372D29" w:rsidP="00372D29">
      <w:pPr>
        <w:spacing w:line="240" w:lineRule="auto"/>
        <w:rPr>
          <w:sz w:val="22"/>
          <w:szCs w:val="22"/>
        </w:rPr>
      </w:pPr>
      <w:r w:rsidRPr="00372D29">
        <w:rPr>
          <w:sz w:val="22"/>
          <w:szCs w:val="22"/>
        </w:rPr>
        <w:t>Situated in the Outer Moray Firth in the North Sea, the region features approx. 5,800 km</w:t>
      </w:r>
      <w:r w:rsidRPr="00372D29">
        <w:rPr>
          <w:sz w:val="22"/>
          <w:szCs w:val="22"/>
          <w:vertAlign w:val="superscript"/>
        </w:rPr>
        <w:t xml:space="preserve">2 </w:t>
      </w:r>
      <w:r w:rsidRPr="00372D29">
        <w:rPr>
          <w:sz w:val="22"/>
          <w:szCs w:val="22"/>
        </w:rPr>
        <w:t>currently unlicensed acreage, which includes a number of undeveloped discoveries and prospects. Companies are being encouraged to collaborate and partner with each other to progress the material exploration and development opportunity in the area.</w:t>
      </w:r>
    </w:p>
    <w:p w14:paraId="734ED68B" w14:textId="77777777" w:rsidR="00372D29" w:rsidRPr="00372D29" w:rsidRDefault="00372D29" w:rsidP="00372D29">
      <w:pPr>
        <w:spacing w:line="240" w:lineRule="auto"/>
        <w:rPr>
          <w:sz w:val="22"/>
          <w:szCs w:val="22"/>
        </w:rPr>
      </w:pPr>
      <w:r w:rsidRPr="00372D29">
        <w:rPr>
          <w:sz w:val="22"/>
          <w:szCs w:val="22"/>
        </w:rPr>
        <w:t xml:space="preserve">The Buchan Field first came online in 1981 using the Buchan Alpha floating drilling rig which was on station for around 36 years. The rig, which reached the end of its design life, has been removed from location, however significant oil and gas resources are estimated to remain in the Buchan reservoir and the Greater Buchan region, making it a valuable area of the North Sea. </w:t>
      </w:r>
    </w:p>
    <w:p w14:paraId="328995EC" w14:textId="77777777" w:rsidR="00372D29" w:rsidRPr="00372D29" w:rsidRDefault="00372D29" w:rsidP="00372D29">
      <w:pPr>
        <w:spacing w:line="240" w:lineRule="auto"/>
        <w:rPr>
          <w:sz w:val="22"/>
          <w:szCs w:val="22"/>
        </w:rPr>
      </w:pPr>
      <w:r w:rsidRPr="00372D29">
        <w:rPr>
          <w:sz w:val="22"/>
          <w:szCs w:val="22"/>
        </w:rPr>
        <w:t xml:space="preserve">To maximise economic recovery of the remaining resources, the OGA wishes to develop an Area Plan with industry linked to a licensing round.  </w:t>
      </w:r>
    </w:p>
    <w:p w14:paraId="63494949" w14:textId="77777777" w:rsidR="00372D29" w:rsidRPr="00372D29" w:rsidRDefault="00372D29" w:rsidP="00372D29">
      <w:pPr>
        <w:spacing w:line="240" w:lineRule="auto"/>
        <w:rPr>
          <w:sz w:val="22"/>
          <w:szCs w:val="22"/>
        </w:rPr>
      </w:pPr>
      <w:r w:rsidRPr="00372D29">
        <w:rPr>
          <w:sz w:val="22"/>
          <w:szCs w:val="22"/>
        </w:rPr>
        <w:t xml:space="preserve">The Supplementary Round has been supported by advanced release of substantial information and data, including seismic data packages. The OGA is continuing to make more and more data openly available and this dataset included well data for 154 wells, 3D seismic surveys, relinquishment and technical reports. To date, there have been 1,122 downloads from the OGA’s website, totalling 7.4 Terabytes of data by 34 different companies. </w:t>
      </w:r>
    </w:p>
    <w:p w14:paraId="0D8D6B76" w14:textId="77777777" w:rsidR="00372D29" w:rsidRPr="00372D29" w:rsidRDefault="00372D29" w:rsidP="00372D29">
      <w:pPr>
        <w:spacing w:line="240" w:lineRule="auto"/>
        <w:rPr>
          <w:sz w:val="22"/>
          <w:szCs w:val="22"/>
        </w:rPr>
      </w:pPr>
      <w:r w:rsidRPr="00372D29">
        <w:rPr>
          <w:sz w:val="22"/>
          <w:szCs w:val="22"/>
        </w:rPr>
        <w:t xml:space="preserve">A newly created ‘Buchan Field Production Dashboard’ is also available on the OGA’s Open Data site which shows the entire production profile since 1981. This can be viewed via the link: </w:t>
      </w:r>
      <w:hyperlink r:id="rId9" w:history="1">
        <w:r w:rsidRPr="00372D29">
          <w:rPr>
            <w:rStyle w:val="Hyperlink"/>
            <w:sz w:val="22"/>
            <w:szCs w:val="22"/>
          </w:rPr>
          <w:t>http://data-ogauthority.opendata.arcgis.com/pages/buchan-sup-round-dashboard</w:t>
        </w:r>
      </w:hyperlink>
    </w:p>
    <w:p w14:paraId="05603D9A" w14:textId="77777777" w:rsidR="00372D29" w:rsidRPr="00372D29" w:rsidRDefault="00372D29" w:rsidP="00372D29">
      <w:pPr>
        <w:spacing w:line="240" w:lineRule="auto"/>
        <w:rPr>
          <w:sz w:val="22"/>
          <w:szCs w:val="22"/>
        </w:rPr>
      </w:pPr>
      <w:r w:rsidRPr="00372D29">
        <w:rPr>
          <w:sz w:val="22"/>
          <w:szCs w:val="22"/>
        </w:rPr>
        <w:t>Prior to this, an information day on the Greater Buchan Area was held at the OGA’s Aberdeen office in November 2018, to promote the opportunity.  The OGA was pleased with the interest which saw 34 companies attend.</w:t>
      </w:r>
    </w:p>
    <w:p w14:paraId="5827E51B" w14:textId="77777777" w:rsidR="00372D29" w:rsidRPr="00372D29" w:rsidRDefault="00372D29" w:rsidP="00372D29">
      <w:pPr>
        <w:spacing w:line="240" w:lineRule="auto"/>
        <w:rPr>
          <w:sz w:val="22"/>
          <w:szCs w:val="22"/>
        </w:rPr>
      </w:pPr>
      <w:r w:rsidRPr="00372D29">
        <w:rPr>
          <w:sz w:val="22"/>
          <w:szCs w:val="22"/>
        </w:rPr>
        <w:t>Dr Andy Samuel, Chief Executive of the OGA, said this latest round should unlock new opportunities and maximise value from this targeted area: “There’s been excellent interest in the Greater Buchan Area. There’s much to play for from exploration through to development opportunities. We are encouraging prospective operators to look beyond individual opportunities and actively partner with other companies to establish a mutually beneficial Area Plan realising the full economic potential in the area.”</w:t>
      </w:r>
    </w:p>
    <w:p w14:paraId="7ABB982D" w14:textId="77777777" w:rsidR="00372D29" w:rsidRPr="00372D29" w:rsidRDefault="00372D29" w:rsidP="00372D29">
      <w:pPr>
        <w:spacing w:line="240" w:lineRule="auto"/>
        <w:rPr>
          <w:sz w:val="22"/>
          <w:szCs w:val="22"/>
        </w:rPr>
      </w:pPr>
      <w:r w:rsidRPr="00372D29">
        <w:rPr>
          <w:b/>
          <w:bCs/>
          <w:sz w:val="22"/>
          <w:szCs w:val="22"/>
        </w:rPr>
        <w:t xml:space="preserve">Notes to editors: </w:t>
      </w:r>
    </w:p>
    <w:p w14:paraId="09C9FF18" w14:textId="74EB8CEC" w:rsidR="00372D29" w:rsidRPr="00372D29" w:rsidRDefault="00372D29" w:rsidP="00372D29">
      <w:pPr>
        <w:numPr>
          <w:ilvl w:val="0"/>
          <w:numId w:val="21"/>
        </w:numPr>
        <w:spacing w:line="240" w:lineRule="auto"/>
        <w:rPr>
          <w:sz w:val="22"/>
          <w:szCs w:val="22"/>
        </w:rPr>
      </w:pPr>
      <w:r w:rsidRPr="00372D29">
        <w:rPr>
          <w:sz w:val="22"/>
          <w:szCs w:val="22"/>
        </w:rPr>
        <w:t xml:space="preserve">5,800 km2 is are on offer in the Greater Buchan Area.  A map of the </w:t>
      </w:r>
      <w:bookmarkStart w:id="1" w:name="_Hlk535484314"/>
      <w:r w:rsidRPr="00372D29">
        <w:rPr>
          <w:sz w:val="22"/>
          <w:szCs w:val="22"/>
        </w:rPr>
        <w:t xml:space="preserve">Greater Buchan Area can be found </w:t>
      </w:r>
      <w:hyperlink r:id="rId10" w:history="1">
        <w:r w:rsidRPr="00372D29">
          <w:rPr>
            <w:rStyle w:val="Hyperlink"/>
            <w:sz w:val="22"/>
            <w:szCs w:val="22"/>
          </w:rPr>
          <w:t>here.</w:t>
        </w:r>
      </w:hyperlink>
    </w:p>
    <w:bookmarkEnd w:id="1"/>
    <w:p w14:paraId="254C023A" w14:textId="77777777" w:rsidR="00372D29" w:rsidRPr="00372D29" w:rsidRDefault="00372D29" w:rsidP="00372D29">
      <w:pPr>
        <w:numPr>
          <w:ilvl w:val="0"/>
          <w:numId w:val="21"/>
        </w:numPr>
        <w:spacing w:line="240" w:lineRule="auto"/>
        <w:rPr>
          <w:sz w:val="22"/>
          <w:szCs w:val="22"/>
        </w:rPr>
      </w:pPr>
      <w:r w:rsidRPr="00372D29">
        <w:rPr>
          <w:sz w:val="22"/>
          <w:szCs w:val="22"/>
        </w:rPr>
        <w:lastRenderedPageBreak/>
        <w:t xml:space="preserve">A full list of the blocks on offer can be viewed on the </w:t>
      </w:r>
      <w:hyperlink r:id="rId11" w:tgtFrame="_blank" w:tooltip="Licensing Rounds" w:history="1">
        <w:r w:rsidRPr="00372D29">
          <w:rPr>
            <w:rStyle w:val="Hyperlink"/>
            <w:sz w:val="22"/>
            <w:szCs w:val="22"/>
          </w:rPr>
          <w:t>OGA licensing rounds webpage</w:t>
        </w:r>
      </w:hyperlink>
      <w:r w:rsidRPr="00372D29">
        <w:rPr>
          <w:sz w:val="22"/>
          <w:szCs w:val="22"/>
        </w:rPr>
        <w:t>.</w:t>
      </w:r>
    </w:p>
    <w:p w14:paraId="6FFE41FC" w14:textId="77777777" w:rsidR="00372D29" w:rsidRPr="00372D29" w:rsidRDefault="00372D29" w:rsidP="00372D29">
      <w:pPr>
        <w:numPr>
          <w:ilvl w:val="0"/>
          <w:numId w:val="21"/>
        </w:numPr>
        <w:spacing w:line="240" w:lineRule="auto"/>
        <w:rPr>
          <w:sz w:val="22"/>
          <w:szCs w:val="22"/>
        </w:rPr>
      </w:pPr>
      <w:r w:rsidRPr="00372D29">
        <w:rPr>
          <w:sz w:val="22"/>
          <w:szCs w:val="22"/>
        </w:rPr>
        <w:t>Companies have until the round will close for applications at 2.00pm on the 2</w:t>
      </w:r>
      <w:r w:rsidRPr="00372D29">
        <w:rPr>
          <w:sz w:val="22"/>
          <w:szCs w:val="22"/>
          <w:vertAlign w:val="superscript"/>
        </w:rPr>
        <w:t>nd</w:t>
      </w:r>
      <w:r w:rsidRPr="00372D29">
        <w:rPr>
          <w:sz w:val="22"/>
          <w:szCs w:val="22"/>
        </w:rPr>
        <w:t xml:space="preserve"> of May 2019 to apply for blocks on offer in the Supplementary Licensing Round. Decisions are expected to be made as early as possible in Q3/4 in 2019. </w:t>
      </w:r>
    </w:p>
    <w:p w14:paraId="0836555D" w14:textId="77777777" w:rsidR="00372D29" w:rsidRPr="00372D29" w:rsidRDefault="00372D29" w:rsidP="00372D29">
      <w:pPr>
        <w:numPr>
          <w:ilvl w:val="0"/>
          <w:numId w:val="21"/>
        </w:numPr>
        <w:spacing w:line="240" w:lineRule="auto"/>
        <w:rPr>
          <w:sz w:val="22"/>
          <w:szCs w:val="22"/>
        </w:rPr>
      </w:pPr>
      <w:r w:rsidRPr="00372D29">
        <w:rPr>
          <w:sz w:val="22"/>
          <w:szCs w:val="22"/>
        </w:rPr>
        <w:t xml:space="preserve">Further details of the exploration datapacks and reports are available on the </w:t>
      </w:r>
      <w:hyperlink r:id="rId12" w:tgtFrame="_blank" w:tooltip="Open Data Centre" w:history="1">
        <w:r w:rsidRPr="00372D29">
          <w:rPr>
            <w:rStyle w:val="Hyperlink"/>
            <w:sz w:val="22"/>
            <w:szCs w:val="22"/>
          </w:rPr>
          <w:t>OGA Open Data Centre</w:t>
        </w:r>
      </w:hyperlink>
      <w:r w:rsidRPr="00372D29">
        <w:rPr>
          <w:sz w:val="22"/>
          <w:szCs w:val="22"/>
        </w:rPr>
        <w:t>.</w:t>
      </w:r>
    </w:p>
    <w:p w14:paraId="27758B28" w14:textId="77777777" w:rsidR="00372D29" w:rsidRPr="00372D29" w:rsidRDefault="00372D29" w:rsidP="00372D29">
      <w:pPr>
        <w:numPr>
          <w:ilvl w:val="0"/>
          <w:numId w:val="21"/>
        </w:numPr>
        <w:spacing w:line="240" w:lineRule="auto"/>
        <w:rPr>
          <w:sz w:val="22"/>
          <w:szCs w:val="22"/>
        </w:rPr>
      </w:pPr>
      <w:r w:rsidRPr="00372D29">
        <w:rPr>
          <w:sz w:val="22"/>
          <w:szCs w:val="22"/>
        </w:rPr>
        <w:t xml:space="preserve">Government-Funded Seismic and Well Data is available to download or order on media via </w:t>
      </w:r>
      <w:hyperlink r:id="rId13" w:tgtFrame="_blank" w:tooltip="CDA’s UK Oil and Gas Data page" w:history="1">
        <w:r w:rsidRPr="00372D29">
          <w:rPr>
            <w:rStyle w:val="Hyperlink"/>
            <w:sz w:val="22"/>
            <w:szCs w:val="22"/>
          </w:rPr>
          <w:t>CDA’s UK Oil and Gas Data page</w:t>
        </w:r>
      </w:hyperlink>
    </w:p>
    <w:p w14:paraId="6368441D" w14:textId="77777777" w:rsidR="00372D29" w:rsidRPr="00372D29" w:rsidRDefault="00372D29" w:rsidP="00372D29">
      <w:pPr>
        <w:numPr>
          <w:ilvl w:val="0"/>
          <w:numId w:val="21"/>
        </w:numPr>
        <w:spacing w:line="240" w:lineRule="auto"/>
        <w:rPr>
          <w:sz w:val="22"/>
          <w:szCs w:val="22"/>
        </w:rPr>
      </w:pPr>
      <w:r w:rsidRPr="00372D29">
        <w:rPr>
          <w:sz w:val="22"/>
          <w:szCs w:val="22"/>
        </w:rPr>
        <w:t xml:space="preserve">Area Plans are a shared view amongst industry participants of the optimal way to achieve MER UK in a specific set of circumstances. More information on Area Plans can be found </w:t>
      </w:r>
      <w:hyperlink r:id="rId14" w:history="1">
        <w:r w:rsidRPr="00372D29">
          <w:rPr>
            <w:rStyle w:val="Hyperlink"/>
            <w:sz w:val="22"/>
            <w:szCs w:val="22"/>
          </w:rPr>
          <w:t>here. </w:t>
        </w:r>
      </w:hyperlink>
    </w:p>
    <w:p w14:paraId="3209EA6C" w14:textId="77777777" w:rsidR="00372D29" w:rsidRPr="00372D29" w:rsidRDefault="00372D29" w:rsidP="00372D29">
      <w:pPr>
        <w:numPr>
          <w:ilvl w:val="0"/>
          <w:numId w:val="21"/>
        </w:numPr>
        <w:spacing w:line="240" w:lineRule="auto"/>
        <w:rPr>
          <w:sz w:val="22"/>
          <w:szCs w:val="22"/>
        </w:rPr>
      </w:pPr>
      <w:r w:rsidRPr="00372D29">
        <w:rPr>
          <w:sz w:val="22"/>
          <w:szCs w:val="22"/>
        </w:rPr>
        <w:t xml:space="preserve">Relinquishment reports provided by previous licensees are also available through the </w:t>
      </w:r>
      <w:hyperlink r:id="rId15" w:tgtFrame="_blank" w:tooltip="Interactive Maps" w:history="1">
        <w:r w:rsidRPr="00372D29">
          <w:rPr>
            <w:rStyle w:val="Hyperlink"/>
            <w:sz w:val="22"/>
            <w:szCs w:val="22"/>
          </w:rPr>
          <w:t>OGA's interactive maps webpage</w:t>
        </w:r>
      </w:hyperlink>
    </w:p>
    <w:p w14:paraId="4172FB90" w14:textId="77777777" w:rsidR="00372D29" w:rsidRPr="00372D29" w:rsidRDefault="00372D29" w:rsidP="00372D29">
      <w:pPr>
        <w:numPr>
          <w:ilvl w:val="0"/>
          <w:numId w:val="21"/>
        </w:numPr>
        <w:spacing w:line="240" w:lineRule="auto"/>
        <w:rPr>
          <w:sz w:val="22"/>
          <w:szCs w:val="22"/>
        </w:rPr>
      </w:pPr>
      <w:r w:rsidRPr="00372D29">
        <w:rPr>
          <w:sz w:val="22"/>
          <w:szCs w:val="22"/>
        </w:rPr>
        <w:t xml:space="preserve">Further information on </w:t>
      </w:r>
      <w:hyperlink r:id="rId16" w:tgtFrame="_blank" w:tooltip="OGA Licensing Rounds" w:history="1">
        <w:r w:rsidRPr="00372D29">
          <w:rPr>
            <w:rStyle w:val="Hyperlink"/>
            <w:sz w:val="22"/>
            <w:szCs w:val="22"/>
          </w:rPr>
          <w:t>OGA Licensing Rounds</w:t>
        </w:r>
      </w:hyperlink>
      <w:r w:rsidRPr="00372D29">
        <w:rPr>
          <w:sz w:val="22"/>
          <w:szCs w:val="22"/>
        </w:rPr>
        <w:t>, including a five-year plan of licence rounds and application guidance. </w:t>
      </w:r>
    </w:p>
    <w:p w14:paraId="7329A458" w14:textId="77777777" w:rsidR="00372D29" w:rsidRPr="00372D29" w:rsidRDefault="00372D29" w:rsidP="00372D29">
      <w:pPr>
        <w:numPr>
          <w:ilvl w:val="0"/>
          <w:numId w:val="21"/>
        </w:numPr>
        <w:spacing w:line="240" w:lineRule="auto"/>
        <w:rPr>
          <w:sz w:val="22"/>
          <w:szCs w:val="22"/>
        </w:rPr>
      </w:pPr>
      <w:r w:rsidRPr="00372D29">
        <w:rPr>
          <w:sz w:val="22"/>
          <w:szCs w:val="22"/>
        </w:rPr>
        <w:t xml:space="preserve">The launch of this round follows the closing of the 31st Offshore Licensing Round in November 2018 which attracted 36 applications covering 164 blocks in frontier areas of the UK Continental Shelf (UKCS). A strong and diverse set of applications were received from 35 companies ranging from multinationals to microbusinesses. </w:t>
      </w:r>
    </w:p>
    <w:p w14:paraId="1F92A66D" w14:textId="77777777" w:rsidR="00372D29" w:rsidRPr="00372D29" w:rsidRDefault="00372D29" w:rsidP="00372D29">
      <w:pPr>
        <w:numPr>
          <w:ilvl w:val="0"/>
          <w:numId w:val="21"/>
        </w:numPr>
        <w:spacing w:line="240" w:lineRule="auto"/>
        <w:rPr>
          <w:sz w:val="22"/>
          <w:szCs w:val="22"/>
        </w:rPr>
      </w:pPr>
      <w:r w:rsidRPr="00372D29">
        <w:rPr>
          <w:sz w:val="22"/>
          <w:szCs w:val="22"/>
        </w:rPr>
        <w:t>The next round, the 32nd Offshore Licensing Round is planned to open in the summer 2019, and will focus on mature areas of the UKCS.</w:t>
      </w:r>
    </w:p>
    <w:p w14:paraId="58077126" w14:textId="77777777" w:rsidR="00372D29" w:rsidRPr="00372D29" w:rsidRDefault="00372D29" w:rsidP="00372D29">
      <w:pPr>
        <w:numPr>
          <w:ilvl w:val="0"/>
          <w:numId w:val="21"/>
        </w:numPr>
        <w:spacing w:line="240" w:lineRule="auto"/>
        <w:rPr>
          <w:sz w:val="22"/>
          <w:szCs w:val="22"/>
        </w:rPr>
      </w:pPr>
      <w:r w:rsidRPr="00372D29">
        <w:rPr>
          <w:sz w:val="22"/>
          <w:szCs w:val="22"/>
        </w:rPr>
        <w:t>The Department for Business, Energy and Industrial Strategy (BEIS) (formerly Department of Energy and Climate Change), Offshore Petroleum Regulator for Environment and Decommissioning (OPRED) Unit undertook a Strategic Environmental Assessment (SEA) to help inform offshore energy licensing and leasing decisions by considering the environmental implications of the plan / programme. The SEA was subject to an 8-week public consultation during March and April 2016. On 13th July 2016 OPRED published the Post Consultation Report and Post Adoption Statement concluding the SEA process.</w:t>
      </w:r>
    </w:p>
    <w:p w14:paraId="308C9892" w14:textId="77777777" w:rsidR="00372D29" w:rsidRPr="00372D29" w:rsidRDefault="00372D29" w:rsidP="00372D29">
      <w:pPr>
        <w:numPr>
          <w:ilvl w:val="0"/>
          <w:numId w:val="21"/>
        </w:numPr>
        <w:spacing w:line="240" w:lineRule="auto"/>
        <w:rPr>
          <w:sz w:val="22"/>
          <w:szCs w:val="22"/>
        </w:rPr>
      </w:pPr>
      <w:r w:rsidRPr="00372D29">
        <w:rPr>
          <w:sz w:val="22"/>
          <w:szCs w:val="22"/>
        </w:rPr>
        <w:t>The SEA concluded that there are no overriding environmental considerations to prevent the achievement of the plan / programme. However, the SEA made a number of recommendations regarding precautions, with the area offered restricted spatially through the exclusion of certain areas together with a number of mitigation measures to prevent, reduce and offset significant adverse impacts on the environment and other users of the sea. The excluded areas will not be part of the offer.</w:t>
      </w:r>
    </w:p>
    <w:p w14:paraId="1CC5E3BF" w14:textId="77777777" w:rsidR="00372D29" w:rsidRPr="00372D29" w:rsidRDefault="00372D29" w:rsidP="00372D29">
      <w:pPr>
        <w:numPr>
          <w:ilvl w:val="0"/>
          <w:numId w:val="21"/>
        </w:numPr>
        <w:spacing w:line="240" w:lineRule="auto"/>
        <w:rPr>
          <w:sz w:val="22"/>
          <w:szCs w:val="22"/>
        </w:rPr>
      </w:pPr>
      <w:r w:rsidRPr="00372D29">
        <w:rPr>
          <w:sz w:val="22"/>
          <w:szCs w:val="22"/>
        </w:rPr>
        <w:t xml:space="preserve">OPRED will carry out a screening exercise in accordance with the Habitats Directive (Council Directive 92/43/EEC of 21 May 1992 on the conservation of natural habitats and of wild fauna and flora) to determine whether the activities proposed to be </w:t>
      </w:r>
      <w:r w:rsidRPr="00372D29">
        <w:rPr>
          <w:sz w:val="22"/>
          <w:szCs w:val="22"/>
        </w:rPr>
        <w:lastRenderedPageBreak/>
        <w:t>carried out are likely to have a significant effect on the management of a Special Area of Conservation Area (SAC) or Special Protection Area (SPA). Where the screening exercise determines that there is a potential for likely significant impact, OPRED will undertake an Appropriate Assessment to determine whether the activities could have any adverse effects on the integrity of such SACs or SPAs. Licences will only be awarded where it has been ascertained that there will be no adverse effect on the integrity of such SACs and SPAs.</w:t>
      </w:r>
    </w:p>
    <w:p w14:paraId="6EBECD88" w14:textId="77777777" w:rsidR="00372D29" w:rsidRPr="00372D29" w:rsidRDefault="00372D29" w:rsidP="00372D29">
      <w:pPr>
        <w:numPr>
          <w:ilvl w:val="0"/>
          <w:numId w:val="21"/>
        </w:numPr>
        <w:spacing w:line="240" w:lineRule="auto"/>
        <w:rPr>
          <w:sz w:val="22"/>
          <w:szCs w:val="22"/>
        </w:rPr>
      </w:pPr>
      <w:r w:rsidRPr="00372D29">
        <w:rPr>
          <w:sz w:val="22"/>
          <w:szCs w:val="22"/>
        </w:rPr>
        <w:t>The Health and Safety Executive (HSE) will also consider whether applicants meet the safety and environmental requirements of the Offshore Safety Directive, and will make recommendations accordingly for or against the award of each licence.</w:t>
      </w:r>
    </w:p>
    <w:p w14:paraId="28DFCE9F" w14:textId="77777777" w:rsidR="00372D29" w:rsidRPr="00372D29" w:rsidRDefault="00372D29" w:rsidP="00372D29">
      <w:pPr>
        <w:numPr>
          <w:ilvl w:val="0"/>
          <w:numId w:val="21"/>
        </w:numPr>
        <w:spacing w:line="240" w:lineRule="auto"/>
        <w:rPr>
          <w:sz w:val="22"/>
          <w:szCs w:val="22"/>
        </w:rPr>
      </w:pPr>
      <w:r w:rsidRPr="00372D29">
        <w:rPr>
          <w:sz w:val="22"/>
          <w:szCs w:val="22"/>
        </w:rPr>
        <w:t>Licences that are awarded in the round may contain conditions to protect environmental sensitivities, and the interests of other sea users. In addition, activities carried out under the licences will be subject to a range of legislation which is designed to protect the marine environment and other users of the sea, including regulations which apply the Environmental Impact Assessment and Habitats Directives in relation to offshore oil and gas activities.</w:t>
      </w:r>
    </w:p>
    <w:p w14:paraId="6A2E60F4" w14:textId="09DFE5FC" w:rsidR="00343D33" w:rsidRPr="00372D29" w:rsidRDefault="00343D33" w:rsidP="00871D23">
      <w:pPr>
        <w:spacing w:line="240" w:lineRule="auto"/>
        <w:rPr>
          <w:b/>
          <w:sz w:val="22"/>
          <w:szCs w:val="22"/>
        </w:rPr>
      </w:pPr>
      <w:r w:rsidRPr="00372D29">
        <w:rPr>
          <w:b/>
          <w:sz w:val="22"/>
          <w:szCs w:val="22"/>
        </w:rPr>
        <w:t>For more information, please contact</w:t>
      </w:r>
      <w:r w:rsidR="00C051CF" w:rsidRPr="00372D29">
        <w:rPr>
          <w:b/>
          <w:sz w:val="22"/>
          <w:szCs w:val="22"/>
        </w:rPr>
        <w:t xml:space="preserve"> Tracey</w:t>
      </w:r>
      <w:r w:rsidR="00E9102C" w:rsidRPr="00372D29">
        <w:rPr>
          <w:b/>
          <w:sz w:val="22"/>
          <w:szCs w:val="22"/>
        </w:rPr>
        <w:t xml:space="preserve"> Miller, Communications Manager:</w:t>
      </w:r>
    </w:p>
    <w:p w14:paraId="104A6F93" w14:textId="77777777" w:rsidR="00343D33" w:rsidRPr="00871D23" w:rsidRDefault="00343D33" w:rsidP="00871D23">
      <w:pPr>
        <w:spacing w:line="240" w:lineRule="auto"/>
        <w:rPr>
          <w:sz w:val="22"/>
          <w:szCs w:val="22"/>
        </w:rPr>
      </w:pPr>
      <w:r w:rsidRPr="00871D23">
        <w:rPr>
          <w:sz w:val="22"/>
          <w:szCs w:val="22"/>
        </w:rPr>
        <w:t xml:space="preserve">Tel: +44 (0) 300 020 1072 </w:t>
      </w:r>
    </w:p>
    <w:p w14:paraId="12A70258" w14:textId="77777777" w:rsidR="00343D33" w:rsidRDefault="00343D33" w:rsidP="00343D33">
      <w:pPr>
        <w:jc w:val="both"/>
        <w:rPr>
          <w:b/>
          <w:bCs/>
          <w:szCs w:val="28"/>
        </w:rPr>
      </w:pPr>
      <w:r w:rsidRPr="00343D33">
        <w:rPr>
          <w:b/>
          <w:bCs/>
          <w:szCs w:val="28"/>
        </w:rPr>
        <w:t xml:space="preserve">Email: </w:t>
      </w:r>
      <w:hyperlink r:id="rId17" w:history="1">
        <w:r w:rsidRPr="007547B8">
          <w:rPr>
            <w:rStyle w:val="Hyperlink"/>
            <w:szCs w:val="28"/>
          </w:rPr>
          <w:t>oga.pressoffice@ogauthority.co.uk</w:t>
        </w:r>
      </w:hyperlink>
    </w:p>
    <w:sectPr w:rsidR="00343D33">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1E396" w14:textId="77777777" w:rsidR="00B363E9" w:rsidRDefault="00B363E9" w:rsidP="00DE0830">
      <w:pPr>
        <w:spacing w:after="0" w:line="240" w:lineRule="auto"/>
      </w:pPr>
      <w:r>
        <w:separator/>
      </w:r>
    </w:p>
  </w:endnote>
  <w:endnote w:type="continuationSeparator" w:id="0">
    <w:p w14:paraId="2394F265" w14:textId="77777777" w:rsidR="00B363E9" w:rsidRDefault="00B363E9" w:rsidP="00DE0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7F6DA" w14:textId="77777777" w:rsidR="00B363E9" w:rsidRDefault="00B363E9" w:rsidP="00DE0830">
      <w:pPr>
        <w:spacing w:after="0" w:line="240" w:lineRule="auto"/>
      </w:pPr>
      <w:r>
        <w:separator/>
      </w:r>
    </w:p>
  </w:footnote>
  <w:footnote w:type="continuationSeparator" w:id="0">
    <w:p w14:paraId="73C20771" w14:textId="77777777" w:rsidR="00B363E9" w:rsidRDefault="00B363E9" w:rsidP="00DE0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C67C1" w14:textId="77777777" w:rsidR="00DE0830" w:rsidRDefault="00DE0830" w:rsidP="00DE0830">
    <w:pPr>
      <w:pStyle w:val="Header"/>
    </w:pPr>
    <w:r>
      <w:rPr>
        <w:noProof/>
        <w:lang w:eastAsia="en-GB"/>
      </w:rPr>
      <mc:AlternateContent>
        <mc:Choice Requires="wps">
          <w:drawing>
            <wp:anchor distT="0" distB="0" distL="114300" distR="114300" simplePos="0" relativeHeight="251659264" behindDoc="0" locked="0" layoutInCell="1" allowOverlap="1" wp14:anchorId="1F71DA88" wp14:editId="7EEA560C">
              <wp:simplePos x="0" y="0"/>
              <wp:positionH relativeFrom="column">
                <wp:posOffset>1479550</wp:posOffset>
              </wp:positionH>
              <wp:positionV relativeFrom="paragraph">
                <wp:posOffset>464820</wp:posOffset>
              </wp:positionV>
              <wp:extent cx="4102100" cy="901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0" cy="901700"/>
                      </a:xfrm>
                      <a:prstGeom prst="rect">
                        <a:avLst/>
                      </a:prstGeom>
                      <a:solidFill>
                        <a:srgbClr val="FFFFFF"/>
                      </a:solidFill>
                      <a:ln w="9525">
                        <a:noFill/>
                        <a:miter lim="800000"/>
                        <a:headEnd/>
                        <a:tailEnd/>
                      </a:ln>
                    </wps:spPr>
                    <wps:txbx>
                      <w:txbxContent>
                        <w:p w14:paraId="3A58DA17" w14:textId="5731F678" w:rsidR="00DE0830" w:rsidRDefault="00DE0830" w:rsidP="00DE0830">
                          <w:pPr>
                            <w:spacing w:after="0" w:line="240" w:lineRule="auto"/>
                            <w:jc w:val="center"/>
                            <w:rPr>
                              <w:b/>
                              <w:sz w:val="52"/>
                            </w:rPr>
                          </w:pPr>
                          <w:r w:rsidRPr="00D60D73">
                            <w:rPr>
                              <w:b/>
                              <w:sz w:val="52"/>
                            </w:rPr>
                            <w:t>Press Announcement</w:t>
                          </w:r>
                        </w:p>
                        <w:p w14:paraId="4FBFF175" w14:textId="77777777" w:rsidR="00871D23" w:rsidRDefault="00871D23" w:rsidP="00DE0830">
                          <w:pPr>
                            <w:spacing w:after="0" w:line="240" w:lineRule="auto"/>
                            <w:jc w:val="center"/>
                            <w:rPr>
                              <w:b/>
                              <w:sz w:val="52"/>
                            </w:rPr>
                          </w:pPr>
                        </w:p>
                        <w:p w14:paraId="7DB382B0" w14:textId="77777777" w:rsidR="00DE0830" w:rsidRDefault="00DE0830" w:rsidP="00DE0830">
                          <w:pPr>
                            <w:spacing w:after="0" w:line="240" w:lineRule="auto"/>
                            <w:jc w:val="center"/>
                            <w:rPr>
                              <w:b/>
                              <w:sz w:val="52"/>
                            </w:rPr>
                          </w:pPr>
                        </w:p>
                        <w:p w14:paraId="6AA98E13" w14:textId="77777777" w:rsidR="00DE0830" w:rsidRDefault="00DE0830" w:rsidP="00DE0830">
                          <w:pPr>
                            <w:spacing w:after="0" w:line="240" w:lineRule="auto"/>
                            <w:jc w:val="center"/>
                            <w:rPr>
                              <w:b/>
                              <w:sz w:val="52"/>
                            </w:rPr>
                          </w:pPr>
                        </w:p>
                        <w:p w14:paraId="05BC5DBA" w14:textId="77777777" w:rsidR="00DE0830" w:rsidRDefault="00DE0830" w:rsidP="00DE0830">
                          <w:pPr>
                            <w:spacing w:after="0" w:line="240" w:lineRule="auto"/>
                            <w:jc w:val="center"/>
                            <w:rPr>
                              <w:b/>
                              <w:sz w:val="52"/>
                            </w:rPr>
                          </w:pPr>
                        </w:p>
                        <w:p w14:paraId="26644E7C" w14:textId="77777777" w:rsidR="00DE0830" w:rsidRDefault="00DE0830" w:rsidP="00DE0830">
                          <w:pPr>
                            <w:spacing w:after="0" w:line="240" w:lineRule="auto"/>
                            <w:jc w:val="center"/>
                            <w:rPr>
                              <w:b/>
                              <w:sz w:val="52"/>
                            </w:rPr>
                          </w:pPr>
                        </w:p>
                        <w:p w14:paraId="7123C170" w14:textId="77777777" w:rsidR="00DE0830" w:rsidRDefault="00DE0830" w:rsidP="00DE0830">
                          <w:pPr>
                            <w:spacing w:after="0" w:line="240" w:lineRule="auto"/>
                            <w:jc w:val="center"/>
                            <w:rPr>
                              <w:b/>
                              <w:sz w:val="52"/>
                            </w:rPr>
                          </w:pPr>
                        </w:p>
                        <w:p w14:paraId="03C0D017" w14:textId="77777777" w:rsidR="00DE0830" w:rsidRDefault="00DE0830" w:rsidP="00DE0830">
                          <w:pPr>
                            <w:spacing w:after="0" w:line="240" w:lineRule="auto"/>
                            <w:jc w:val="center"/>
                            <w:rPr>
                              <w:b/>
                              <w:sz w:val="52"/>
                            </w:rPr>
                          </w:pPr>
                        </w:p>
                        <w:p w14:paraId="16FBB323" w14:textId="77777777" w:rsidR="00DE0830" w:rsidRDefault="00DE0830" w:rsidP="00DE0830">
                          <w:pPr>
                            <w:spacing w:after="0" w:line="240" w:lineRule="auto"/>
                            <w:jc w:val="center"/>
                            <w:rPr>
                              <w:b/>
                              <w:sz w:val="52"/>
                            </w:rPr>
                          </w:pPr>
                        </w:p>
                        <w:p w14:paraId="511402B5" w14:textId="77777777" w:rsidR="00DE0830" w:rsidRPr="00D60D73" w:rsidRDefault="00DE0830" w:rsidP="00DE0830">
                          <w:pPr>
                            <w:spacing w:after="0" w:line="240" w:lineRule="auto"/>
                            <w:jc w:val="center"/>
                            <w:rPr>
                              <w:b/>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71DA88" id="_x0000_t202" coordsize="21600,21600" o:spt="202" path="m,l,21600r21600,l21600,xe">
              <v:stroke joinstyle="miter"/>
              <v:path gradientshapeok="t" o:connecttype="rect"/>
            </v:shapetype>
            <v:shape id="Text Box 2" o:spid="_x0000_s1026" type="#_x0000_t202" style="position:absolute;margin-left:116.5pt;margin-top:36.6pt;width:323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" stroked="f">
              <v:textbox>
                <w:txbxContent>
                  <w:p w14:paraId="3A58DA17" w14:textId="5731F678" w:rsidR="00DE0830" w:rsidRDefault="00DE0830" w:rsidP="00DE0830">
                    <w:pPr>
                      <w:spacing w:after="0" w:line="240" w:lineRule="auto"/>
                      <w:jc w:val="center"/>
                      <w:rPr>
                        <w:b/>
                        <w:sz w:val="52"/>
                      </w:rPr>
                    </w:pPr>
                    <w:r w:rsidRPr="00D60D73">
                      <w:rPr>
                        <w:b/>
                        <w:sz w:val="52"/>
                      </w:rPr>
                      <w:t>Press Announcement</w:t>
                    </w:r>
                  </w:p>
                  <w:p w14:paraId="4FBFF175" w14:textId="77777777" w:rsidR="00871D23" w:rsidRDefault="00871D23" w:rsidP="00DE0830">
                    <w:pPr>
                      <w:spacing w:after="0" w:line="240" w:lineRule="auto"/>
                      <w:jc w:val="center"/>
                      <w:rPr>
                        <w:b/>
                        <w:sz w:val="52"/>
                      </w:rPr>
                    </w:pPr>
                  </w:p>
                  <w:p w14:paraId="7DB382B0" w14:textId="77777777" w:rsidR="00DE0830" w:rsidRDefault="00DE0830" w:rsidP="00DE0830">
                    <w:pPr>
                      <w:spacing w:after="0" w:line="240" w:lineRule="auto"/>
                      <w:jc w:val="center"/>
                      <w:rPr>
                        <w:b/>
                        <w:sz w:val="52"/>
                      </w:rPr>
                    </w:pPr>
                  </w:p>
                  <w:p w14:paraId="6AA98E13" w14:textId="77777777" w:rsidR="00DE0830" w:rsidRDefault="00DE0830" w:rsidP="00DE0830">
                    <w:pPr>
                      <w:spacing w:after="0" w:line="240" w:lineRule="auto"/>
                      <w:jc w:val="center"/>
                      <w:rPr>
                        <w:b/>
                        <w:sz w:val="52"/>
                      </w:rPr>
                    </w:pPr>
                  </w:p>
                  <w:p w14:paraId="05BC5DBA" w14:textId="77777777" w:rsidR="00DE0830" w:rsidRDefault="00DE0830" w:rsidP="00DE0830">
                    <w:pPr>
                      <w:spacing w:after="0" w:line="240" w:lineRule="auto"/>
                      <w:jc w:val="center"/>
                      <w:rPr>
                        <w:b/>
                        <w:sz w:val="52"/>
                      </w:rPr>
                    </w:pPr>
                  </w:p>
                  <w:p w14:paraId="26644E7C" w14:textId="77777777" w:rsidR="00DE0830" w:rsidRDefault="00DE0830" w:rsidP="00DE0830">
                    <w:pPr>
                      <w:spacing w:after="0" w:line="240" w:lineRule="auto"/>
                      <w:jc w:val="center"/>
                      <w:rPr>
                        <w:b/>
                        <w:sz w:val="52"/>
                      </w:rPr>
                    </w:pPr>
                  </w:p>
                  <w:p w14:paraId="7123C170" w14:textId="77777777" w:rsidR="00DE0830" w:rsidRDefault="00DE0830" w:rsidP="00DE0830">
                    <w:pPr>
                      <w:spacing w:after="0" w:line="240" w:lineRule="auto"/>
                      <w:jc w:val="center"/>
                      <w:rPr>
                        <w:b/>
                        <w:sz w:val="52"/>
                      </w:rPr>
                    </w:pPr>
                  </w:p>
                  <w:p w14:paraId="03C0D017" w14:textId="77777777" w:rsidR="00DE0830" w:rsidRDefault="00DE0830" w:rsidP="00DE0830">
                    <w:pPr>
                      <w:spacing w:after="0" w:line="240" w:lineRule="auto"/>
                      <w:jc w:val="center"/>
                      <w:rPr>
                        <w:b/>
                        <w:sz w:val="52"/>
                      </w:rPr>
                    </w:pPr>
                  </w:p>
                  <w:p w14:paraId="16FBB323" w14:textId="77777777" w:rsidR="00DE0830" w:rsidRDefault="00DE0830" w:rsidP="00DE0830">
                    <w:pPr>
                      <w:spacing w:after="0" w:line="240" w:lineRule="auto"/>
                      <w:jc w:val="center"/>
                      <w:rPr>
                        <w:b/>
                        <w:sz w:val="52"/>
                      </w:rPr>
                    </w:pPr>
                  </w:p>
                  <w:p w14:paraId="511402B5" w14:textId="77777777" w:rsidR="00DE0830" w:rsidRPr="00D60D73" w:rsidRDefault="00DE0830" w:rsidP="00DE0830">
                    <w:pPr>
                      <w:spacing w:after="0" w:line="240" w:lineRule="auto"/>
                      <w:jc w:val="center"/>
                      <w:rPr>
                        <w:b/>
                        <w:sz w:val="52"/>
                      </w:rPr>
                    </w:pP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4821687E" wp14:editId="44B2796C">
              <wp:simplePos x="0" y="0"/>
              <wp:positionH relativeFrom="column">
                <wp:posOffset>3253740</wp:posOffset>
              </wp:positionH>
              <wp:positionV relativeFrom="paragraph">
                <wp:posOffset>-635</wp:posOffset>
              </wp:positionV>
              <wp:extent cx="2374265" cy="140398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52F9E976" w14:textId="446673BD" w:rsidR="00DE0830" w:rsidRPr="00F45155" w:rsidRDefault="00515B55" w:rsidP="00DE0830">
                          <w:pPr>
                            <w:jc w:val="right"/>
                            <w:rPr>
                              <w:b/>
                            </w:rPr>
                          </w:pPr>
                          <w:bookmarkStart w:id="2" w:name="_Hlk497141638"/>
                          <w:bookmarkStart w:id="3" w:name="_Hlk497141639"/>
                          <w:bookmarkStart w:id="4" w:name="_Hlk497141640"/>
                          <w:bookmarkStart w:id="5" w:name="_Hlk497141641"/>
                          <w:bookmarkStart w:id="6" w:name="_Hlk497141642"/>
                          <w:bookmarkStart w:id="7" w:name="_Hlk497141643"/>
                          <w:bookmarkStart w:id="8" w:name="_Hlk497141644"/>
                          <w:bookmarkStart w:id="9" w:name="_Hlk497141645"/>
                          <w:bookmarkStart w:id="10" w:name="_Hlk497141646"/>
                          <w:r>
                            <w:rPr>
                              <w:b/>
                            </w:rPr>
                            <w:t xml:space="preserve"> </w:t>
                          </w:r>
                          <w:r w:rsidR="00871D23">
                            <w:rPr>
                              <w:b/>
                            </w:rPr>
                            <w:t xml:space="preserve"> </w:t>
                          </w:r>
                          <w:r w:rsidR="00372D29">
                            <w:rPr>
                              <w:b/>
                            </w:rPr>
                            <w:t>31 January</w:t>
                          </w:r>
                          <w:r w:rsidR="00343D33">
                            <w:rPr>
                              <w:b/>
                            </w:rPr>
                            <w:t xml:space="preserve"> </w:t>
                          </w:r>
                          <w:r w:rsidR="00993CAE">
                            <w:rPr>
                              <w:b/>
                            </w:rPr>
                            <w:t>201</w:t>
                          </w:r>
                          <w:bookmarkEnd w:id="2"/>
                          <w:bookmarkEnd w:id="3"/>
                          <w:bookmarkEnd w:id="4"/>
                          <w:bookmarkEnd w:id="5"/>
                          <w:bookmarkEnd w:id="6"/>
                          <w:bookmarkEnd w:id="7"/>
                          <w:bookmarkEnd w:id="8"/>
                          <w:bookmarkEnd w:id="9"/>
                          <w:bookmarkEnd w:id="10"/>
                          <w:r w:rsidR="00372D29">
                            <w:rPr>
                              <w:b/>
                            </w:rPr>
                            <w:t>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821687E" id="_x0000_s1027" type="#_x0000_t202" style="position:absolute;margin-left:256.2pt;margin-top:-.05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aJAIAACM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" stroked="f">
              <v:textbox style="mso-fit-shape-to-text:t">
                <w:txbxContent>
                  <w:p w14:paraId="52F9E976" w14:textId="446673BD" w:rsidR="00DE0830" w:rsidRPr="00F45155" w:rsidRDefault="00515B55" w:rsidP="00DE0830">
                    <w:pPr>
                      <w:jc w:val="right"/>
                      <w:rPr>
                        <w:b/>
                      </w:rPr>
                    </w:pPr>
                    <w:bookmarkStart w:id="11" w:name="_Hlk497141638"/>
                    <w:bookmarkStart w:id="12" w:name="_Hlk497141639"/>
                    <w:bookmarkStart w:id="13" w:name="_Hlk497141640"/>
                    <w:bookmarkStart w:id="14" w:name="_Hlk497141641"/>
                    <w:bookmarkStart w:id="15" w:name="_Hlk497141642"/>
                    <w:bookmarkStart w:id="16" w:name="_Hlk497141643"/>
                    <w:bookmarkStart w:id="17" w:name="_Hlk497141644"/>
                    <w:bookmarkStart w:id="18" w:name="_Hlk497141645"/>
                    <w:bookmarkStart w:id="19" w:name="_Hlk497141646"/>
                    <w:r>
                      <w:rPr>
                        <w:b/>
                      </w:rPr>
                      <w:t xml:space="preserve"> </w:t>
                    </w:r>
                    <w:r w:rsidR="00871D23">
                      <w:rPr>
                        <w:b/>
                      </w:rPr>
                      <w:t xml:space="preserve"> </w:t>
                    </w:r>
                    <w:r w:rsidR="00372D29">
                      <w:rPr>
                        <w:b/>
                      </w:rPr>
                      <w:t>31 January</w:t>
                    </w:r>
                    <w:r w:rsidR="00343D33">
                      <w:rPr>
                        <w:b/>
                      </w:rPr>
                      <w:t xml:space="preserve"> </w:t>
                    </w:r>
                    <w:r w:rsidR="00993CAE">
                      <w:rPr>
                        <w:b/>
                      </w:rPr>
                      <w:t>201</w:t>
                    </w:r>
                    <w:bookmarkEnd w:id="11"/>
                    <w:bookmarkEnd w:id="12"/>
                    <w:bookmarkEnd w:id="13"/>
                    <w:bookmarkEnd w:id="14"/>
                    <w:bookmarkEnd w:id="15"/>
                    <w:bookmarkEnd w:id="16"/>
                    <w:bookmarkEnd w:id="17"/>
                    <w:bookmarkEnd w:id="18"/>
                    <w:bookmarkEnd w:id="19"/>
                    <w:r w:rsidR="00372D29">
                      <w:rPr>
                        <w:b/>
                      </w:rPr>
                      <w:t>9</w:t>
                    </w:r>
                  </w:p>
                </w:txbxContent>
              </v:textbox>
            </v:shape>
          </w:pict>
        </mc:Fallback>
      </mc:AlternateContent>
    </w:r>
    <w:r>
      <w:rPr>
        <w:noProof/>
        <w:lang w:eastAsia="en-GB"/>
      </w:rPr>
      <w:drawing>
        <wp:inline distT="0" distB="0" distL="0" distR="0" wp14:anchorId="0DE9014C" wp14:editId="3EE38B03">
          <wp:extent cx="1222106" cy="1035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GA logo hi res.png"/>
                  <pic:cNvPicPr/>
                </pic:nvPicPr>
                <pic:blipFill>
                  <a:blip r:embed="rId1">
                    <a:extLst>
                      <a:ext uri="{28A0092B-C50C-407E-A947-70E740481C1C}">
                        <a14:useLocalDpi xmlns:a14="http://schemas.microsoft.com/office/drawing/2010/main" val="0"/>
                      </a:ext>
                    </a:extLst>
                  </a:blip>
                  <a:stretch>
                    <a:fillRect/>
                  </a:stretch>
                </pic:blipFill>
                <pic:spPr>
                  <a:xfrm>
                    <a:off x="0" y="0"/>
                    <a:ext cx="1222578" cy="1035450"/>
                  </a:xfrm>
                  <a:prstGeom prst="rect">
                    <a:avLst/>
                  </a:prstGeom>
                </pic:spPr>
              </pic:pic>
            </a:graphicData>
          </a:graphic>
        </wp:inline>
      </w:drawing>
    </w:r>
    <w:bookmarkStart w:id="11" w:name="_Hlk497141072"/>
  </w:p>
  <w:p w14:paraId="46B51C6C" w14:textId="77777777" w:rsidR="00DE0830" w:rsidRDefault="00DE0830" w:rsidP="00DE0830">
    <w:pPr>
      <w:pStyle w:val="Header"/>
    </w:pPr>
  </w:p>
  <w:p w14:paraId="2D1035C0" w14:textId="77777777" w:rsidR="00DE0830" w:rsidRDefault="00DE0830" w:rsidP="00DE0830">
    <w:pPr>
      <w:pStyle w:val="Header"/>
    </w:pPr>
  </w:p>
  <w:bookmarkEnd w:id="11"/>
  <w:p w14:paraId="61EACA69" w14:textId="77777777" w:rsidR="00DE0830" w:rsidRDefault="00DE0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9E6"/>
    <w:multiLevelType w:val="hybridMultilevel"/>
    <w:tmpl w:val="3C40D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52B50"/>
    <w:multiLevelType w:val="hybridMultilevel"/>
    <w:tmpl w:val="9E127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930ED"/>
    <w:multiLevelType w:val="hybridMultilevel"/>
    <w:tmpl w:val="4DECC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43299"/>
    <w:multiLevelType w:val="hybridMultilevel"/>
    <w:tmpl w:val="A66021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310793"/>
    <w:multiLevelType w:val="hybridMultilevel"/>
    <w:tmpl w:val="83FE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303DB3"/>
    <w:multiLevelType w:val="multilevel"/>
    <w:tmpl w:val="14847570"/>
    <w:lvl w:ilvl="0">
      <w:start w:val="1"/>
      <w:numFmt w:val="decimal"/>
      <w:lvlText w:val="%1."/>
      <w:lvlJc w:val="left"/>
      <w:pPr>
        <w:tabs>
          <w:tab w:val="num" w:pos="1440"/>
        </w:tabs>
        <w:ind w:left="1440" w:hanging="720"/>
      </w:pPr>
      <w:rPr>
        <w:b w:val="0"/>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6" w15:restartNumberingAfterBreak="0">
    <w:nsid w:val="2A566F69"/>
    <w:multiLevelType w:val="hybridMultilevel"/>
    <w:tmpl w:val="016E270E"/>
    <w:lvl w:ilvl="0" w:tplc="006A20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9C2A9D"/>
    <w:multiLevelType w:val="hybridMultilevel"/>
    <w:tmpl w:val="F634E04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2ED734D0"/>
    <w:multiLevelType w:val="hybridMultilevel"/>
    <w:tmpl w:val="74FAFD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12D4422"/>
    <w:multiLevelType w:val="hybridMultilevel"/>
    <w:tmpl w:val="1D42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8B629A"/>
    <w:multiLevelType w:val="multilevel"/>
    <w:tmpl w:val="1550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3C1F2A"/>
    <w:multiLevelType w:val="hybridMultilevel"/>
    <w:tmpl w:val="AE8E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9C6FD2"/>
    <w:multiLevelType w:val="hybridMultilevel"/>
    <w:tmpl w:val="3CB08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EE2391"/>
    <w:multiLevelType w:val="hybridMultilevel"/>
    <w:tmpl w:val="5CAA7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E253474"/>
    <w:multiLevelType w:val="hybridMultilevel"/>
    <w:tmpl w:val="83F6F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A631DD"/>
    <w:multiLevelType w:val="multilevel"/>
    <w:tmpl w:val="6D664D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3F0038"/>
    <w:multiLevelType w:val="multilevel"/>
    <w:tmpl w:val="499E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C574DE"/>
    <w:multiLevelType w:val="hybridMultilevel"/>
    <w:tmpl w:val="5E2C1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372865"/>
    <w:multiLevelType w:val="hybridMultilevel"/>
    <w:tmpl w:val="FFB2E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F5111F"/>
    <w:multiLevelType w:val="hybridMultilevel"/>
    <w:tmpl w:val="04CE8FD4"/>
    <w:lvl w:ilvl="0" w:tplc="65B8C450">
      <w:start w:val="1"/>
      <w:numFmt w:val="bullet"/>
      <w:lvlText w:val="•"/>
      <w:lvlJc w:val="left"/>
      <w:pPr>
        <w:tabs>
          <w:tab w:val="num" w:pos="720"/>
        </w:tabs>
        <w:ind w:left="720" w:hanging="360"/>
      </w:pPr>
      <w:rPr>
        <w:rFonts w:ascii="Arial" w:hAnsi="Arial" w:hint="default"/>
      </w:rPr>
    </w:lvl>
    <w:lvl w:ilvl="1" w:tplc="C86447D8" w:tentative="1">
      <w:start w:val="1"/>
      <w:numFmt w:val="bullet"/>
      <w:lvlText w:val="•"/>
      <w:lvlJc w:val="left"/>
      <w:pPr>
        <w:tabs>
          <w:tab w:val="num" w:pos="1440"/>
        </w:tabs>
        <w:ind w:left="1440" w:hanging="360"/>
      </w:pPr>
      <w:rPr>
        <w:rFonts w:ascii="Arial" w:hAnsi="Arial" w:hint="default"/>
      </w:rPr>
    </w:lvl>
    <w:lvl w:ilvl="2" w:tplc="8710D98A" w:tentative="1">
      <w:start w:val="1"/>
      <w:numFmt w:val="bullet"/>
      <w:lvlText w:val="•"/>
      <w:lvlJc w:val="left"/>
      <w:pPr>
        <w:tabs>
          <w:tab w:val="num" w:pos="2160"/>
        </w:tabs>
        <w:ind w:left="2160" w:hanging="360"/>
      </w:pPr>
      <w:rPr>
        <w:rFonts w:ascii="Arial" w:hAnsi="Arial" w:hint="default"/>
      </w:rPr>
    </w:lvl>
    <w:lvl w:ilvl="3" w:tplc="3B1616D8" w:tentative="1">
      <w:start w:val="1"/>
      <w:numFmt w:val="bullet"/>
      <w:lvlText w:val="•"/>
      <w:lvlJc w:val="left"/>
      <w:pPr>
        <w:tabs>
          <w:tab w:val="num" w:pos="2880"/>
        </w:tabs>
        <w:ind w:left="2880" w:hanging="360"/>
      </w:pPr>
      <w:rPr>
        <w:rFonts w:ascii="Arial" w:hAnsi="Arial" w:hint="default"/>
      </w:rPr>
    </w:lvl>
    <w:lvl w:ilvl="4" w:tplc="D5581B90" w:tentative="1">
      <w:start w:val="1"/>
      <w:numFmt w:val="bullet"/>
      <w:lvlText w:val="•"/>
      <w:lvlJc w:val="left"/>
      <w:pPr>
        <w:tabs>
          <w:tab w:val="num" w:pos="3600"/>
        </w:tabs>
        <w:ind w:left="3600" w:hanging="360"/>
      </w:pPr>
      <w:rPr>
        <w:rFonts w:ascii="Arial" w:hAnsi="Arial" w:hint="default"/>
      </w:rPr>
    </w:lvl>
    <w:lvl w:ilvl="5" w:tplc="ACFCD816" w:tentative="1">
      <w:start w:val="1"/>
      <w:numFmt w:val="bullet"/>
      <w:lvlText w:val="•"/>
      <w:lvlJc w:val="left"/>
      <w:pPr>
        <w:tabs>
          <w:tab w:val="num" w:pos="4320"/>
        </w:tabs>
        <w:ind w:left="4320" w:hanging="360"/>
      </w:pPr>
      <w:rPr>
        <w:rFonts w:ascii="Arial" w:hAnsi="Arial" w:hint="default"/>
      </w:rPr>
    </w:lvl>
    <w:lvl w:ilvl="6" w:tplc="52B67296" w:tentative="1">
      <w:start w:val="1"/>
      <w:numFmt w:val="bullet"/>
      <w:lvlText w:val="•"/>
      <w:lvlJc w:val="left"/>
      <w:pPr>
        <w:tabs>
          <w:tab w:val="num" w:pos="5040"/>
        </w:tabs>
        <w:ind w:left="5040" w:hanging="360"/>
      </w:pPr>
      <w:rPr>
        <w:rFonts w:ascii="Arial" w:hAnsi="Arial" w:hint="default"/>
      </w:rPr>
    </w:lvl>
    <w:lvl w:ilvl="7" w:tplc="560A21A0" w:tentative="1">
      <w:start w:val="1"/>
      <w:numFmt w:val="bullet"/>
      <w:lvlText w:val="•"/>
      <w:lvlJc w:val="left"/>
      <w:pPr>
        <w:tabs>
          <w:tab w:val="num" w:pos="5760"/>
        </w:tabs>
        <w:ind w:left="5760" w:hanging="360"/>
      </w:pPr>
      <w:rPr>
        <w:rFonts w:ascii="Arial" w:hAnsi="Arial" w:hint="default"/>
      </w:rPr>
    </w:lvl>
    <w:lvl w:ilvl="8" w:tplc="48A07E9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B2C0805"/>
    <w:multiLevelType w:val="hybridMultilevel"/>
    <w:tmpl w:val="D384E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C853C1B"/>
    <w:multiLevelType w:val="hybridMultilevel"/>
    <w:tmpl w:val="4C4C6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15"/>
  </w:num>
  <w:num w:numId="4">
    <w:abstractNumId w:val="7"/>
  </w:num>
  <w:num w:numId="5">
    <w:abstractNumId w:val="12"/>
  </w:num>
  <w:num w:numId="6">
    <w:abstractNumId w:val="14"/>
  </w:num>
  <w:num w:numId="7">
    <w:abstractNumId w:val="4"/>
  </w:num>
  <w:num w:numId="8">
    <w:abstractNumId w:val="19"/>
  </w:num>
  <w:num w:numId="9">
    <w:abstractNumId w:val="21"/>
  </w:num>
  <w:num w:numId="10">
    <w:abstractNumId w:val="8"/>
  </w:num>
  <w:num w:numId="11">
    <w:abstractNumId w:val="5"/>
  </w:num>
  <w:num w:numId="12">
    <w:abstractNumId w:val="1"/>
  </w:num>
  <w:num w:numId="13">
    <w:abstractNumId w:val="9"/>
  </w:num>
  <w:num w:numId="14">
    <w:abstractNumId w:val="6"/>
  </w:num>
  <w:num w:numId="15">
    <w:abstractNumId w:val="3"/>
  </w:num>
  <w:num w:numId="16">
    <w:abstractNumId w:val="2"/>
  </w:num>
  <w:num w:numId="17">
    <w:abstractNumId w:val="11"/>
  </w:num>
  <w:num w:numId="18">
    <w:abstractNumId w:val="18"/>
  </w:num>
  <w:num w:numId="19">
    <w:abstractNumId w:val="0"/>
  </w:num>
  <w:num w:numId="20">
    <w:abstractNumId w:val="17"/>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ABB"/>
    <w:rsid w:val="000061DB"/>
    <w:rsid w:val="000121CB"/>
    <w:rsid w:val="00014414"/>
    <w:rsid w:val="00024750"/>
    <w:rsid w:val="00027A35"/>
    <w:rsid w:val="000324F9"/>
    <w:rsid w:val="00032E09"/>
    <w:rsid w:val="00043EAE"/>
    <w:rsid w:val="0004584F"/>
    <w:rsid w:val="00050BB8"/>
    <w:rsid w:val="00064998"/>
    <w:rsid w:val="00067043"/>
    <w:rsid w:val="000A0957"/>
    <w:rsid w:val="000A2042"/>
    <w:rsid w:val="000E0A6D"/>
    <w:rsid w:val="000E313E"/>
    <w:rsid w:val="000E451A"/>
    <w:rsid w:val="000F12CF"/>
    <w:rsid w:val="000F4FCF"/>
    <w:rsid w:val="000F5369"/>
    <w:rsid w:val="000F5D63"/>
    <w:rsid w:val="00104C0B"/>
    <w:rsid w:val="001176A2"/>
    <w:rsid w:val="0012274C"/>
    <w:rsid w:val="00132F90"/>
    <w:rsid w:val="00133D37"/>
    <w:rsid w:val="00136A9D"/>
    <w:rsid w:val="00142D15"/>
    <w:rsid w:val="001508EE"/>
    <w:rsid w:val="00150F0E"/>
    <w:rsid w:val="00153FDF"/>
    <w:rsid w:val="00172428"/>
    <w:rsid w:val="00182016"/>
    <w:rsid w:val="001872B0"/>
    <w:rsid w:val="00193487"/>
    <w:rsid w:val="00194CB9"/>
    <w:rsid w:val="00196E92"/>
    <w:rsid w:val="001B0F7B"/>
    <w:rsid w:val="001B26BB"/>
    <w:rsid w:val="001B32AB"/>
    <w:rsid w:val="001C1E5A"/>
    <w:rsid w:val="001E6C46"/>
    <w:rsid w:val="001F22AD"/>
    <w:rsid w:val="001F6CAB"/>
    <w:rsid w:val="00204D93"/>
    <w:rsid w:val="00206944"/>
    <w:rsid w:val="002125C8"/>
    <w:rsid w:val="002216EA"/>
    <w:rsid w:val="00226CA1"/>
    <w:rsid w:val="00231F34"/>
    <w:rsid w:val="00235456"/>
    <w:rsid w:val="00241C47"/>
    <w:rsid w:val="0024482A"/>
    <w:rsid w:val="0027520C"/>
    <w:rsid w:val="00282933"/>
    <w:rsid w:val="00283632"/>
    <w:rsid w:val="002873E2"/>
    <w:rsid w:val="002919B3"/>
    <w:rsid w:val="00294E9D"/>
    <w:rsid w:val="002B67A5"/>
    <w:rsid w:val="002C2591"/>
    <w:rsid w:val="002C2CB9"/>
    <w:rsid w:val="002C3926"/>
    <w:rsid w:val="002C50E9"/>
    <w:rsid w:val="002C6AD1"/>
    <w:rsid w:val="002D26AA"/>
    <w:rsid w:val="002F1AD5"/>
    <w:rsid w:val="002F5BB1"/>
    <w:rsid w:val="002F611C"/>
    <w:rsid w:val="003063F5"/>
    <w:rsid w:val="0032051E"/>
    <w:rsid w:val="00330C54"/>
    <w:rsid w:val="00343D33"/>
    <w:rsid w:val="00345205"/>
    <w:rsid w:val="00350F23"/>
    <w:rsid w:val="00351332"/>
    <w:rsid w:val="00351CC1"/>
    <w:rsid w:val="003573DE"/>
    <w:rsid w:val="00360938"/>
    <w:rsid w:val="003631DC"/>
    <w:rsid w:val="00372D29"/>
    <w:rsid w:val="00377CD3"/>
    <w:rsid w:val="00380FA5"/>
    <w:rsid w:val="00387F8C"/>
    <w:rsid w:val="00397D33"/>
    <w:rsid w:val="003A5D97"/>
    <w:rsid w:val="003B1B78"/>
    <w:rsid w:val="003B6DE3"/>
    <w:rsid w:val="003B78A0"/>
    <w:rsid w:val="003C0C29"/>
    <w:rsid w:val="003C530C"/>
    <w:rsid w:val="003D3D4E"/>
    <w:rsid w:val="003D67E5"/>
    <w:rsid w:val="003E5FDF"/>
    <w:rsid w:val="003E7521"/>
    <w:rsid w:val="003F3B7E"/>
    <w:rsid w:val="003F5AC1"/>
    <w:rsid w:val="0040044A"/>
    <w:rsid w:val="00403832"/>
    <w:rsid w:val="00412DAD"/>
    <w:rsid w:val="0041641E"/>
    <w:rsid w:val="004232CF"/>
    <w:rsid w:val="00424C3D"/>
    <w:rsid w:val="004276E2"/>
    <w:rsid w:val="004308E0"/>
    <w:rsid w:val="00430D4B"/>
    <w:rsid w:val="00432EE9"/>
    <w:rsid w:val="00436011"/>
    <w:rsid w:val="00443F17"/>
    <w:rsid w:val="00446DA8"/>
    <w:rsid w:val="004537BB"/>
    <w:rsid w:val="004542E5"/>
    <w:rsid w:val="00461BA5"/>
    <w:rsid w:val="00476B7F"/>
    <w:rsid w:val="004A4B00"/>
    <w:rsid w:val="004A73E1"/>
    <w:rsid w:val="004B5F43"/>
    <w:rsid w:val="004C02F2"/>
    <w:rsid w:val="004D5BD9"/>
    <w:rsid w:val="004E0B0A"/>
    <w:rsid w:val="005013BD"/>
    <w:rsid w:val="00513910"/>
    <w:rsid w:val="00515B55"/>
    <w:rsid w:val="00520D9A"/>
    <w:rsid w:val="005365A0"/>
    <w:rsid w:val="00542D67"/>
    <w:rsid w:val="0055364F"/>
    <w:rsid w:val="0055510A"/>
    <w:rsid w:val="00556276"/>
    <w:rsid w:val="00562D51"/>
    <w:rsid w:val="00565E09"/>
    <w:rsid w:val="005713BB"/>
    <w:rsid w:val="005833CC"/>
    <w:rsid w:val="00585255"/>
    <w:rsid w:val="0059410F"/>
    <w:rsid w:val="00597BA1"/>
    <w:rsid w:val="005A730E"/>
    <w:rsid w:val="005B3428"/>
    <w:rsid w:val="005D1A17"/>
    <w:rsid w:val="005E36E3"/>
    <w:rsid w:val="006028C6"/>
    <w:rsid w:val="00605B11"/>
    <w:rsid w:val="00611F62"/>
    <w:rsid w:val="006124B0"/>
    <w:rsid w:val="00630A87"/>
    <w:rsid w:val="0063280D"/>
    <w:rsid w:val="0063740B"/>
    <w:rsid w:val="00640A58"/>
    <w:rsid w:val="00640E64"/>
    <w:rsid w:val="00641137"/>
    <w:rsid w:val="00645B76"/>
    <w:rsid w:val="00651D44"/>
    <w:rsid w:val="0066024A"/>
    <w:rsid w:val="00660C61"/>
    <w:rsid w:val="00667CBE"/>
    <w:rsid w:val="00672802"/>
    <w:rsid w:val="00673BEC"/>
    <w:rsid w:val="006874C9"/>
    <w:rsid w:val="006A11C2"/>
    <w:rsid w:val="006B7472"/>
    <w:rsid w:val="006C150E"/>
    <w:rsid w:val="006D13F8"/>
    <w:rsid w:val="006D4314"/>
    <w:rsid w:val="006E04A2"/>
    <w:rsid w:val="006E114F"/>
    <w:rsid w:val="006E551B"/>
    <w:rsid w:val="006E7A12"/>
    <w:rsid w:val="006F2B23"/>
    <w:rsid w:val="006F4328"/>
    <w:rsid w:val="006F66E5"/>
    <w:rsid w:val="006F70FD"/>
    <w:rsid w:val="006F744D"/>
    <w:rsid w:val="00703154"/>
    <w:rsid w:val="007143D4"/>
    <w:rsid w:val="007163CF"/>
    <w:rsid w:val="00720766"/>
    <w:rsid w:val="00723448"/>
    <w:rsid w:val="007416F8"/>
    <w:rsid w:val="00745584"/>
    <w:rsid w:val="007458F7"/>
    <w:rsid w:val="00751E9F"/>
    <w:rsid w:val="007531C6"/>
    <w:rsid w:val="0076618E"/>
    <w:rsid w:val="007661CE"/>
    <w:rsid w:val="00773694"/>
    <w:rsid w:val="00777067"/>
    <w:rsid w:val="00777205"/>
    <w:rsid w:val="00781FA8"/>
    <w:rsid w:val="007836BE"/>
    <w:rsid w:val="00783CD4"/>
    <w:rsid w:val="007844AD"/>
    <w:rsid w:val="00793ABB"/>
    <w:rsid w:val="00794F80"/>
    <w:rsid w:val="007A0D2A"/>
    <w:rsid w:val="007A6191"/>
    <w:rsid w:val="007B3BD5"/>
    <w:rsid w:val="007B7968"/>
    <w:rsid w:val="007C1D9B"/>
    <w:rsid w:val="007D1611"/>
    <w:rsid w:val="007E3525"/>
    <w:rsid w:val="007E4845"/>
    <w:rsid w:val="007F2BDF"/>
    <w:rsid w:val="00805F1B"/>
    <w:rsid w:val="00831324"/>
    <w:rsid w:val="00833AE4"/>
    <w:rsid w:val="00835726"/>
    <w:rsid w:val="00836D52"/>
    <w:rsid w:val="00841FB6"/>
    <w:rsid w:val="00855567"/>
    <w:rsid w:val="00866391"/>
    <w:rsid w:val="00867020"/>
    <w:rsid w:val="00871D23"/>
    <w:rsid w:val="00873C14"/>
    <w:rsid w:val="008821E2"/>
    <w:rsid w:val="00891B09"/>
    <w:rsid w:val="00897E94"/>
    <w:rsid w:val="008A1C23"/>
    <w:rsid w:val="008A2B0B"/>
    <w:rsid w:val="008A53F1"/>
    <w:rsid w:val="008B444E"/>
    <w:rsid w:val="008C580C"/>
    <w:rsid w:val="008C6E8D"/>
    <w:rsid w:val="008D241A"/>
    <w:rsid w:val="008E6BA5"/>
    <w:rsid w:val="008F080A"/>
    <w:rsid w:val="008F197D"/>
    <w:rsid w:val="009153E4"/>
    <w:rsid w:val="009409CF"/>
    <w:rsid w:val="009461FA"/>
    <w:rsid w:val="00953F0E"/>
    <w:rsid w:val="00955FF9"/>
    <w:rsid w:val="00957D20"/>
    <w:rsid w:val="0096097D"/>
    <w:rsid w:val="00965EDF"/>
    <w:rsid w:val="00974739"/>
    <w:rsid w:val="00977760"/>
    <w:rsid w:val="00990072"/>
    <w:rsid w:val="00991812"/>
    <w:rsid w:val="00993CAE"/>
    <w:rsid w:val="00995508"/>
    <w:rsid w:val="00995CC2"/>
    <w:rsid w:val="009D3D8F"/>
    <w:rsid w:val="009D535B"/>
    <w:rsid w:val="009F7978"/>
    <w:rsid w:val="009F7DFD"/>
    <w:rsid w:val="00A04CC8"/>
    <w:rsid w:val="00A13ACB"/>
    <w:rsid w:val="00A15BC7"/>
    <w:rsid w:val="00A25889"/>
    <w:rsid w:val="00A27C8C"/>
    <w:rsid w:val="00A43654"/>
    <w:rsid w:val="00A4798B"/>
    <w:rsid w:val="00A649AA"/>
    <w:rsid w:val="00A65577"/>
    <w:rsid w:val="00A66EB0"/>
    <w:rsid w:val="00A76161"/>
    <w:rsid w:val="00A852CF"/>
    <w:rsid w:val="00A91701"/>
    <w:rsid w:val="00A91FE9"/>
    <w:rsid w:val="00AA0005"/>
    <w:rsid w:val="00AA1FB6"/>
    <w:rsid w:val="00AB2184"/>
    <w:rsid w:val="00AE1C01"/>
    <w:rsid w:val="00AE2DC7"/>
    <w:rsid w:val="00AF312F"/>
    <w:rsid w:val="00AF3405"/>
    <w:rsid w:val="00AF7018"/>
    <w:rsid w:val="00B013C4"/>
    <w:rsid w:val="00B02F1D"/>
    <w:rsid w:val="00B049B4"/>
    <w:rsid w:val="00B108D0"/>
    <w:rsid w:val="00B222B7"/>
    <w:rsid w:val="00B22B43"/>
    <w:rsid w:val="00B30BAC"/>
    <w:rsid w:val="00B31D93"/>
    <w:rsid w:val="00B31F75"/>
    <w:rsid w:val="00B3212B"/>
    <w:rsid w:val="00B33565"/>
    <w:rsid w:val="00B34FFB"/>
    <w:rsid w:val="00B352D3"/>
    <w:rsid w:val="00B363E9"/>
    <w:rsid w:val="00B458E6"/>
    <w:rsid w:val="00B459DE"/>
    <w:rsid w:val="00B5450C"/>
    <w:rsid w:val="00B641E7"/>
    <w:rsid w:val="00B716AA"/>
    <w:rsid w:val="00B72412"/>
    <w:rsid w:val="00B91D95"/>
    <w:rsid w:val="00B92D14"/>
    <w:rsid w:val="00B933D8"/>
    <w:rsid w:val="00B96A38"/>
    <w:rsid w:val="00B97370"/>
    <w:rsid w:val="00BA6859"/>
    <w:rsid w:val="00BC16B9"/>
    <w:rsid w:val="00BC2A74"/>
    <w:rsid w:val="00BD28B7"/>
    <w:rsid w:val="00BE4819"/>
    <w:rsid w:val="00C03294"/>
    <w:rsid w:val="00C051CF"/>
    <w:rsid w:val="00C05547"/>
    <w:rsid w:val="00C06906"/>
    <w:rsid w:val="00C079EB"/>
    <w:rsid w:val="00C150DF"/>
    <w:rsid w:val="00C223D6"/>
    <w:rsid w:val="00C23451"/>
    <w:rsid w:val="00C25D11"/>
    <w:rsid w:val="00C306B9"/>
    <w:rsid w:val="00C37FD9"/>
    <w:rsid w:val="00C409AC"/>
    <w:rsid w:val="00C476A2"/>
    <w:rsid w:val="00C54DCE"/>
    <w:rsid w:val="00C610CA"/>
    <w:rsid w:val="00C70D33"/>
    <w:rsid w:val="00C7118C"/>
    <w:rsid w:val="00C711B5"/>
    <w:rsid w:val="00C75B9B"/>
    <w:rsid w:val="00C81A31"/>
    <w:rsid w:val="00C916A8"/>
    <w:rsid w:val="00CA7148"/>
    <w:rsid w:val="00CB361F"/>
    <w:rsid w:val="00CC1600"/>
    <w:rsid w:val="00CE2903"/>
    <w:rsid w:val="00CF4AA0"/>
    <w:rsid w:val="00CF5587"/>
    <w:rsid w:val="00CF7046"/>
    <w:rsid w:val="00D2078D"/>
    <w:rsid w:val="00D31846"/>
    <w:rsid w:val="00D44AAA"/>
    <w:rsid w:val="00D45D10"/>
    <w:rsid w:val="00D4649B"/>
    <w:rsid w:val="00D5243E"/>
    <w:rsid w:val="00D57890"/>
    <w:rsid w:val="00D80B79"/>
    <w:rsid w:val="00DA3A7F"/>
    <w:rsid w:val="00DA4507"/>
    <w:rsid w:val="00DB36BA"/>
    <w:rsid w:val="00DC287B"/>
    <w:rsid w:val="00DD594E"/>
    <w:rsid w:val="00DE0456"/>
    <w:rsid w:val="00DE0830"/>
    <w:rsid w:val="00E12F21"/>
    <w:rsid w:val="00E23818"/>
    <w:rsid w:val="00E26B92"/>
    <w:rsid w:val="00E2706B"/>
    <w:rsid w:val="00E3012C"/>
    <w:rsid w:val="00E30B79"/>
    <w:rsid w:val="00E4306E"/>
    <w:rsid w:val="00E5013A"/>
    <w:rsid w:val="00E61CA4"/>
    <w:rsid w:val="00E66D82"/>
    <w:rsid w:val="00E677CB"/>
    <w:rsid w:val="00E75446"/>
    <w:rsid w:val="00E75D12"/>
    <w:rsid w:val="00E84748"/>
    <w:rsid w:val="00E84BDE"/>
    <w:rsid w:val="00E8502D"/>
    <w:rsid w:val="00E9102C"/>
    <w:rsid w:val="00E93459"/>
    <w:rsid w:val="00E96C1A"/>
    <w:rsid w:val="00EA7909"/>
    <w:rsid w:val="00EB5320"/>
    <w:rsid w:val="00ED12C6"/>
    <w:rsid w:val="00ED237E"/>
    <w:rsid w:val="00EF39DB"/>
    <w:rsid w:val="00F01FF8"/>
    <w:rsid w:val="00F051B1"/>
    <w:rsid w:val="00F053B6"/>
    <w:rsid w:val="00F33C9F"/>
    <w:rsid w:val="00F34672"/>
    <w:rsid w:val="00F37DCF"/>
    <w:rsid w:val="00F53370"/>
    <w:rsid w:val="00F540C8"/>
    <w:rsid w:val="00F5427C"/>
    <w:rsid w:val="00F579DC"/>
    <w:rsid w:val="00F77122"/>
    <w:rsid w:val="00F85EAF"/>
    <w:rsid w:val="00F90FDA"/>
    <w:rsid w:val="00FB129C"/>
    <w:rsid w:val="00FB76E2"/>
    <w:rsid w:val="00FC0292"/>
    <w:rsid w:val="00FD080D"/>
    <w:rsid w:val="00FE1C29"/>
    <w:rsid w:val="00FE3D8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8900216"/>
  <w15:docId w15:val="{6AF23E64-1109-423C-892C-3F87BFC2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ABB"/>
    <w:rPr>
      <w:color w:val="0000FF"/>
      <w:u w:val="single"/>
    </w:rPr>
  </w:style>
  <w:style w:type="paragraph" w:styleId="ListParagraph">
    <w:name w:val="List Paragraph"/>
    <w:basedOn w:val="Normal"/>
    <w:uiPriority w:val="34"/>
    <w:qFormat/>
    <w:rsid w:val="00BE4819"/>
    <w:pPr>
      <w:ind w:left="720"/>
      <w:contextualSpacing/>
    </w:pPr>
  </w:style>
  <w:style w:type="paragraph" w:styleId="BalloonText">
    <w:name w:val="Balloon Text"/>
    <w:basedOn w:val="Normal"/>
    <w:link w:val="BalloonTextChar"/>
    <w:uiPriority w:val="99"/>
    <w:semiHidden/>
    <w:unhideWhenUsed/>
    <w:rsid w:val="00AF3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405"/>
    <w:rPr>
      <w:rFonts w:ascii="Tahoma" w:hAnsi="Tahoma" w:cs="Tahoma"/>
      <w:sz w:val="16"/>
      <w:szCs w:val="16"/>
    </w:rPr>
  </w:style>
  <w:style w:type="character" w:styleId="CommentReference">
    <w:name w:val="annotation reference"/>
    <w:basedOn w:val="DefaultParagraphFont"/>
    <w:uiPriority w:val="99"/>
    <w:semiHidden/>
    <w:unhideWhenUsed/>
    <w:rsid w:val="00AF3405"/>
    <w:rPr>
      <w:sz w:val="16"/>
      <w:szCs w:val="16"/>
    </w:rPr>
  </w:style>
  <w:style w:type="paragraph" w:styleId="CommentText">
    <w:name w:val="annotation text"/>
    <w:basedOn w:val="Normal"/>
    <w:link w:val="CommentTextChar"/>
    <w:uiPriority w:val="99"/>
    <w:semiHidden/>
    <w:unhideWhenUsed/>
    <w:rsid w:val="00AF3405"/>
    <w:pPr>
      <w:spacing w:line="240" w:lineRule="auto"/>
    </w:pPr>
    <w:rPr>
      <w:sz w:val="20"/>
      <w:szCs w:val="20"/>
    </w:rPr>
  </w:style>
  <w:style w:type="character" w:customStyle="1" w:styleId="CommentTextChar">
    <w:name w:val="Comment Text Char"/>
    <w:basedOn w:val="DefaultParagraphFont"/>
    <w:link w:val="CommentText"/>
    <w:uiPriority w:val="99"/>
    <w:semiHidden/>
    <w:rsid w:val="00AF3405"/>
    <w:rPr>
      <w:sz w:val="20"/>
      <w:szCs w:val="20"/>
    </w:rPr>
  </w:style>
  <w:style w:type="paragraph" w:styleId="CommentSubject">
    <w:name w:val="annotation subject"/>
    <w:basedOn w:val="CommentText"/>
    <w:next w:val="CommentText"/>
    <w:link w:val="CommentSubjectChar"/>
    <w:uiPriority w:val="99"/>
    <w:semiHidden/>
    <w:unhideWhenUsed/>
    <w:rsid w:val="00AF3405"/>
    <w:rPr>
      <w:b/>
      <w:bCs/>
    </w:rPr>
  </w:style>
  <w:style w:type="character" w:customStyle="1" w:styleId="CommentSubjectChar">
    <w:name w:val="Comment Subject Char"/>
    <w:basedOn w:val="CommentTextChar"/>
    <w:link w:val="CommentSubject"/>
    <w:uiPriority w:val="99"/>
    <w:semiHidden/>
    <w:rsid w:val="00AF3405"/>
    <w:rPr>
      <w:b/>
      <w:bCs/>
      <w:sz w:val="20"/>
      <w:szCs w:val="20"/>
    </w:rPr>
  </w:style>
  <w:style w:type="paragraph" w:styleId="Header">
    <w:name w:val="header"/>
    <w:basedOn w:val="Normal"/>
    <w:link w:val="HeaderChar"/>
    <w:uiPriority w:val="99"/>
    <w:unhideWhenUsed/>
    <w:rsid w:val="00DE0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830"/>
  </w:style>
  <w:style w:type="paragraph" w:styleId="Footer">
    <w:name w:val="footer"/>
    <w:basedOn w:val="Normal"/>
    <w:link w:val="FooterChar"/>
    <w:uiPriority w:val="99"/>
    <w:unhideWhenUsed/>
    <w:rsid w:val="00DE08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830"/>
  </w:style>
  <w:style w:type="paragraph" w:styleId="NoSpacing">
    <w:name w:val="No Spacing"/>
    <w:uiPriority w:val="1"/>
    <w:qFormat/>
    <w:rsid w:val="00F85EAF"/>
    <w:pPr>
      <w:spacing w:after="0" w:line="240" w:lineRule="auto"/>
    </w:pPr>
  </w:style>
  <w:style w:type="paragraph" w:styleId="Subtitle">
    <w:name w:val="Subtitle"/>
    <w:basedOn w:val="Normal"/>
    <w:next w:val="Normal"/>
    <w:link w:val="SubtitleChar"/>
    <w:uiPriority w:val="11"/>
    <w:qFormat/>
    <w:rsid w:val="00F85EA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85EAF"/>
    <w:rPr>
      <w:rFonts w:asciiTheme="majorHAnsi" w:eastAsiaTheme="majorEastAsia" w:hAnsiTheme="majorHAnsi" w:cstheme="majorBidi"/>
      <w:i/>
      <w:iCs/>
      <w:color w:val="4F81BD" w:themeColor="accent1"/>
      <w:spacing w:val="15"/>
    </w:rPr>
  </w:style>
  <w:style w:type="paragraph" w:styleId="Revision">
    <w:name w:val="Revision"/>
    <w:hidden/>
    <w:uiPriority w:val="99"/>
    <w:semiHidden/>
    <w:rsid w:val="00A66EB0"/>
    <w:pPr>
      <w:spacing w:after="0" w:line="240" w:lineRule="auto"/>
    </w:pPr>
  </w:style>
  <w:style w:type="character" w:styleId="FollowedHyperlink">
    <w:name w:val="FollowedHyperlink"/>
    <w:basedOn w:val="DefaultParagraphFont"/>
    <w:uiPriority w:val="99"/>
    <w:semiHidden/>
    <w:unhideWhenUsed/>
    <w:rsid w:val="00B108D0"/>
    <w:rPr>
      <w:color w:val="800080" w:themeColor="followedHyperlink"/>
      <w:u w:val="single"/>
    </w:rPr>
  </w:style>
  <w:style w:type="paragraph" w:customStyle="1" w:styleId="Paragraphtext">
    <w:name w:val="Paragraph text"/>
    <w:basedOn w:val="Normal"/>
    <w:qFormat/>
    <w:rsid w:val="00A13ACB"/>
    <w:pPr>
      <w:spacing w:before="120" w:after="120" w:line="280" w:lineRule="exact"/>
    </w:pPr>
    <w:rPr>
      <w:rFonts w:eastAsia="Times New Roman" w:cs="Times New Roman"/>
      <w:szCs w:val="20"/>
    </w:rPr>
  </w:style>
  <w:style w:type="character" w:customStyle="1" w:styleId="UnresolvedMention1">
    <w:name w:val="Unresolved Mention1"/>
    <w:basedOn w:val="DefaultParagraphFont"/>
    <w:uiPriority w:val="99"/>
    <w:semiHidden/>
    <w:unhideWhenUsed/>
    <w:rsid w:val="00343D33"/>
    <w:rPr>
      <w:color w:val="808080"/>
      <w:shd w:val="clear" w:color="auto" w:fill="E6E6E6"/>
    </w:rPr>
  </w:style>
  <w:style w:type="paragraph" w:styleId="EndnoteText">
    <w:name w:val="endnote text"/>
    <w:basedOn w:val="Normal"/>
    <w:link w:val="EndnoteTextChar"/>
    <w:uiPriority w:val="99"/>
    <w:semiHidden/>
    <w:unhideWhenUsed/>
    <w:rsid w:val="006D13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13F8"/>
    <w:rPr>
      <w:sz w:val="20"/>
      <w:szCs w:val="20"/>
    </w:rPr>
  </w:style>
  <w:style w:type="character" w:styleId="EndnoteReference">
    <w:name w:val="endnote reference"/>
    <w:basedOn w:val="DefaultParagraphFont"/>
    <w:uiPriority w:val="99"/>
    <w:semiHidden/>
    <w:unhideWhenUsed/>
    <w:rsid w:val="006D13F8"/>
    <w:rPr>
      <w:vertAlign w:val="superscript"/>
    </w:rPr>
  </w:style>
  <w:style w:type="paragraph" w:styleId="FootnoteText">
    <w:name w:val="footnote text"/>
    <w:basedOn w:val="Normal"/>
    <w:link w:val="FootnoteTextChar"/>
    <w:semiHidden/>
    <w:unhideWhenUsed/>
    <w:rsid w:val="006D13F8"/>
    <w:pPr>
      <w:spacing w:after="0" w:line="240" w:lineRule="auto"/>
    </w:pPr>
    <w:rPr>
      <w:sz w:val="20"/>
      <w:szCs w:val="20"/>
    </w:rPr>
  </w:style>
  <w:style w:type="character" w:customStyle="1" w:styleId="FootnoteTextChar">
    <w:name w:val="Footnote Text Char"/>
    <w:basedOn w:val="DefaultParagraphFont"/>
    <w:link w:val="FootnoteText"/>
    <w:semiHidden/>
    <w:rsid w:val="006D13F8"/>
    <w:rPr>
      <w:sz w:val="20"/>
      <w:szCs w:val="20"/>
    </w:rPr>
  </w:style>
  <w:style w:type="character" w:styleId="FootnoteReference">
    <w:name w:val="footnote reference"/>
    <w:basedOn w:val="DefaultParagraphFont"/>
    <w:semiHidden/>
    <w:unhideWhenUsed/>
    <w:rsid w:val="006D13F8"/>
    <w:rPr>
      <w:vertAlign w:val="superscript"/>
    </w:rPr>
  </w:style>
  <w:style w:type="character" w:styleId="Strong">
    <w:name w:val="Strong"/>
    <w:qFormat/>
    <w:rsid w:val="00BC16B9"/>
    <w:rPr>
      <w:b/>
      <w:bCs/>
    </w:rPr>
  </w:style>
  <w:style w:type="paragraph" w:styleId="BodyText3">
    <w:name w:val="Body Text 3"/>
    <w:basedOn w:val="Normal"/>
    <w:link w:val="BodyText3Char"/>
    <w:uiPriority w:val="99"/>
    <w:rsid w:val="00BC16B9"/>
    <w:pPr>
      <w:spacing w:after="0" w:line="240" w:lineRule="auto"/>
      <w:ind w:right="284"/>
      <w:jc w:val="both"/>
    </w:pPr>
    <w:rPr>
      <w:rFonts w:ascii="Times New Roman" w:eastAsia="Times New Roman" w:hAnsi="Times New Roman" w:cs="Times New Roman"/>
      <w:szCs w:val="20"/>
    </w:rPr>
  </w:style>
  <w:style w:type="character" w:customStyle="1" w:styleId="BodyText3Char">
    <w:name w:val="Body Text 3 Char"/>
    <w:basedOn w:val="DefaultParagraphFont"/>
    <w:link w:val="BodyText3"/>
    <w:uiPriority w:val="99"/>
    <w:rsid w:val="00BC16B9"/>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6374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4153">
      <w:bodyDiv w:val="1"/>
      <w:marLeft w:val="0"/>
      <w:marRight w:val="0"/>
      <w:marTop w:val="0"/>
      <w:marBottom w:val="0"/>
      <w:divBdr>
        <w:top w:val="none" w:sz="0" w:space="0" w:color="auto"/>
        <w:left w:val="none" w:sz="0" w:space="0" w:color="auto"/>
        <w:bottom w:val="none" w:sz="0" w:space="0" w:color="auto"/>
        <w:right w:val="none" w:sz="0" w:space="0" w:color="auto"/>
      </w:divBdr>
    </w:div>
    <w:div w:id="244725622">
      <w:bodyDiv w:val="1"/>
      <w:marLeft w:val="0"/>
      <w:marRight w:val="0"/>
      <w:marTop w:val="0"/>
      <w:marBottom w:val="0"/>
      <w:divBdr>
        <w:top w:val="none" w:sz="0" w:space="0" w:color="auto"/>
        <w:left w:val="none" w:sz="0" w:space="0" w:color="auto"/>
        <w:bottom w:val="none" w:sz="0" w:space="0" w:color="auto"/>
        <w:right w:val="none" w:sz="0" w:space="0" w:color="auto"/>
      </w:divBdr>
    </w:div>
    <w:div w:id="1025250808">
      <w:bodyDiv w:val="1"/>
      <w:marLeft w:val="0"/>
      <w:marRight w:val="0"/>
      <w:marTop w:val="0"/>
      <w:marBottom w:val="0"/>
      <w:divBdr>
        <w:top w:val="none" w:sz="0" w:space="0" w:color="auto"/>
        <w:left w:val="none" w:sz="0" w:space="0" w:color="auto"/>
        <w:bottom w:val="none" w:sz="0" w:space="0" w:color="auto"/>
        <w:right w:val="none" w:sz="0" w:space="0" w:color="auto"/>
      </w:divBdr>
      <w:divsChild>
        <w:div w:id="759523006">
          <w:marLeft w:val="0"/>
          <w:marRight w:val="0"/>
          <w:marTop w:val="0"/>
          <w:marBottom w:val="0"/>
          <w:divBdr>
            <w:top w:val="none" w:sz="0" w:space="0" w:color="auto"/>
            <w:left w:val="none" w:sz="0" w:space="0" w:color="auto"/>
            <w:bottom w:val="none" w:sz="0" w:space="0" w:color="auto"/>
            <w:right w:val="none" w:sz="0" w:space="0" w:color="auto"/>
          </w:divBdr>
          <w:divsChild>
            <w:div w:id="181456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18630">
      <w:bodyDiv w:val="1"/>
      <w:marLeft w:val="0"/>
      <w:marRight w:val="0"/>
      <w:marTop w:val="0"/>
      <w:marBottom w:val="0"/>
      <w:divBdr>
        <w:top w:val="none" w:sz="0" w:space="0" w:color="auto"/>
        <w:left w:val="none" w:sz="0" w:space="0" w:color="auto"/>
        <w:bottom w:val="none" w:sz="0" w:space="0" w:color="auto"/>
        <w:right w:val="none" w:sz="0" w:space="0" w:color="auto"/>
      </w:divBdr>
      <w:divsChild>
        <w:div w:id="1059474049">
          <w:marLeft w:val="274"/>
          <w:marRight w:val="0"/>
          <w:marTop w:val="0"/>
          <w:marBottom w:val="0"/>
          <w:divBdr>
            <w:top w:val="none" w:sz="0" w:space="0" w:color="auto"/>
            <w:left w:val="none" w:sz="0" w:space="0" w:color="auto"/>
            <w:bottom w:val="none" w:sz="0" w:space="0" w:color="auto"/>
            <w:right w:val="none" w:sz="0" w:space="0" w:color="auto"/>
          </w:divBdr>
        </w:div>
      </w:divsChild>
    </w:div>
    <w:div w:id="1490633302">
      <w:bodyDiv w:val="1"/>
      <w:marLeft w:val="0"/>
      <w:marRight w:val="0"/>
      <w:marTop w:val="0"/>
      <w:marBottom w:val="0"/>
      <w:divBdr>
        <w:top w:val="none" w:sz="0" w:space="0" w:color="auto"/>
        <w:left w:val="none" w:sz="0" w:space="0" w:color="auto"/>
        <w:bottom w:val="none" w:sz="0" w:space="0" w:color="auto"/>
        <w:right w:val="none" w:sz="0" w:space="0" w:color="auto"/>
      </w:divBdr>
    </w:div>
    <w:div w:id="1914967960">
      <w:bodyDiv w:val="1"/>
      <w:marLeft w:val="0"/>
      <w:marRight w:val="0"/>
      <w:marTop w:val="0"/>
      <w:marBottom w:val="0"/>
      <w:divBdr>
        <w:top w:val="none" w:sz="0" w:space="0" w:color="auto"/>
        <w:left w:val="none" w:sz="0" w:space="0" w:color="auto"/>
        <w:bottom w:val="none" w:sz="0" w:space="0" w:color="auto"/>
        <w:right w:val="none" w:sz="0" w:space="0" w:color="auto"/>
      </w:divBdr>
      <w:divsChild>
        <w:div w:id="221404726">
          <w:marLeft w:val="0"/>
          <w:marRight w:val="0"/>
          <w:marTop w:val="0"/>
          <w:marBottom w:val="0"/>
          <w:divBdr>
            <w:top w:val="none" w:sz="0" w:space="0" w:color="auto"/>
            <w:left w:val="none" w:sz="0" w:space="0" w:color="auto"/>
            <w:bottom w:val="none" w:sz="0" w:space="0" w:color="auto"/>
            <w:right w:val="none" w:sz="0" w:space="0" w:color="auto"/>
          </w:divBdr>
          <w:divsChild>
            <w:div w:id="173454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5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portal.ogauthority.co.uk/web_files/gis/ukcs_maps/Buchan-area-map.pdf" TargetMode="External"/><Relationship Id="rId13" Type="http://schemas.openxmlformats.org/officeDocument/2006/relationships/hyperlink" Target="https://www.ukoilandgasdata.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a-ogauthority.opendata.arcgis.com/" TargetMode="External"/><Relationship Id="rId17" Type="http://schemas.openxmlformats.org/officeDocument/2006/relationships/hyperlink" Target="mailto:oga.pressoffice@ogauthority.co.uk" TargetMode="External"/><Relationship Id="rId2" Type="http://schemas.openxmlformats.org/officeDocument/2006/relationships/numbering" Target="numbering.xml"/><Relationship Id="rId16" Type="http://schemas.openxmlformats.org/officeDocument/2006/relationships/hyperlink" Target="https://www.ogauthority.co.uk/licensing-consents/licensing-roun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gauthority.co.uk/licensing-consents/licensing-rounds/" TargetMode="External"/><Relationship Id="rId5" Type="http://schemas.openxmlformats.org/officeDocument/2006/relationships/webSettings" Target="webSettings.xml"/><Relationship Id="rId15" Type="http://schemas.openxmlformats.org/officeDocument/2006/relationships/hyperlink" Target="https://www.ogauthority.co.uk/Relinquishments" TargetMode="External"/><Relationship Id="rId10" Type="http://schemas.openxmlformats.org/officeDocument/2006/relationships/hyperlink" Target="https://itportal.ogauthority.co.uk/web_files/gis/ukcs_maps/Buchan-area-map.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ata-ogauthority.opendata.arcgis.com/pages/buchan-sup-round-dashboard" TargetMode="External"/><Relationship Id="rId14" Type="http://schemas.openxmlformats.org/officeDocument/2006/relationships/hyperlink" Target="https://www.ogauthority.co.uk/exploration-production/area-pla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16A7B-FE73-4EC1-9643-EC6DC040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1172</Words>
  <Characters>6681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Minellas Leona (Oil and Gas Authority)</dc:creator>
  <cp:lastModifiedBy>Ian Furneaux (Oil &amp; Gas Authority)</cp:lastModifiedBy>
  <cp:revision>2</cp:revision>
  <cp:lastPrinted>2017-11-21T11:12:00Z</cp:lastPrinted>
  <dcterms:created xsi:type="dcterms:W3CDTF">2019-01-30T14:42:00Z</dcterms:created>
  <dcterms:modified xsi:type="dcterms:W3CDTF">2019-01-30T14:42:00Z</dcterms:modified>
</cp:coreProperties>
</file>