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4244" w14:textId="77777777" w:rsidR="009868F0" w:rsidRPr="00347B7D" w:rsidRDefault="00114783">
      <w:pPr>
        <w:jc w:val="both"/>
        <w:rPr>
          <w:rFonts w:ascii="Arial" w:eastAsia="Arial" w:hAnsi="Arial" w:cs="Arial"/>
          <w:b/>
          <w:bCs/>
          <w:color w:val="FF0000"/>
        </w:rPr>
      </w:pPr>
      <w:bookmarkStart w:id="0" w:name="_GoBack"/>
      <w:bookmarkEnd w:id="0"/>
      <w:r w:rsidRPr="00E81AE5">
        <w:rPr>
          <w:rFonts w:ascii="Arial" w:eastAsia="Arial" w:hAnsi="Arial" w:cs="Arial"/>
          <w:b/>
          <w:bCs/>
          <w:sz w:val="22"/>
          <w:szCs w:val="22"/>
        </w:rPr>
        <w:t xml:space="preserve">                      </w:t>
      </w:r>
      <w:r w:rsidR="009868F0" w:rsidRPr="00E81AE5">
        <w:rPr>
          <w:rFonts w:ascii="Arial" w:hAnsi="Arial" w:cs="Arial"/>
          <w:b/>
          <w:bCs/>
          <w:sz w:val="22"/>
          <w:szCs w:val="22"/>
        </w:rPr>
        <w:tab/>
      </w:r>
      <w:r w:rsidR="009868F0" w:rsidRPr="00347B7D">
        <w:rPr>
          <w:rFonts w:ascii="Arial" w:hAnsi="Arial" w:cs="Arial"/>
          <w:b/>
          <w:bCs/>
        </w:rPr>
        <w:tab/>
      </w:r>
      <w:r w:rsidR="009868F0" w:rsidRPr="00347B7D">
        <w:rPr>
          <w:rFonts w:ascii="Arial" w:hAnsi="Arial" w:cs="Arial"/>
          <w:b/>
          <w:bCs/>
        </w:rPr>
        <w:tab/>
      </w:r>
      <w:r w:rsidRPr="00347B7D">
        <w:rPr>
          <w:rFonts w:ascii="Arial" w:eastAsia="Arial" w:hAnsi="Arial" w:cs="Arial"/>
          <w:b/>
          <w:bCs/>
        </w:rPr>
        <w:t xml:space="preserve">         </w:t>
      </w:r>
      <w:r w:rsidR="00742FFD" w:rsidRPr="00347B7D">
        <w:rPr>
          <w:rFonts w:ascii="Arial" w:eastAsia="Arial" w:hAnsi="Arial" w:cs="Arial"/>
          <w:b/>
          <w:bCs/>
        </w:rPr>
        <w:t xml:space="preserve">Version </w:t>
      </w:r>
      <w:r w:rsidR="00364C50">
        <w:rPr>
          <w:rFonts w:ascii="Arial" w:eastAsia="Arial" w:hAnsi="Arial" w:cs="Arial"/>
          <w:b/>
          <w:bCs/>
        </w:rPr>
        <w:t>2</w:t>
      </w:r>
      <w:r w:rsidR="006441C9" w:rsidRPr="00347B7D">
        <w:rPr>
          <w:rFonts w:ascii="Arial" w:eastAsia="Arial" w:hAnsi="Arial" w:cs="Arial"/>
          <w:b/>
          <w:bCs/>
          <w:color w:val="FF0000"/>
        </w:rPr>
        <w:t xml:space="preserve"> </w:t>
      </w:r>
      <w:r w:rsidR="009868F0" w:rsidRPr="00347B7D">
        <w:rPr>
          <w:rFonts w:ascii="Arial" w:eastAsia="Arial" w:hAnsi="Arial" w:cs="Arial"/>
          <w:b/>
          <w:bCs/>
        </w:rPr>
        <w:t>(</w:t>
      </w:r>
      <w:r w:rsidR="00364C50">
        <w:rPr>
          <w:rFonts w:ascii="Arial" w:eastAsia="Arial" w:hAnsi="Arial" w:cs="Arial"/>
          <w:b/>
          <w:bCs/>
        </w:rPr>
        <w:t>24</w:t>
      </w:r>
      <w:r w:rsidR="00EE39C9" w:rsidRPr="00347B7D">
        <w:rPr>
          <w:rFonts w:ascii="Arial" w:eastAsia="Arial" w:hAnsi="Arial" w:cs="Arial"/>
          <w:b/>
          <w:bCs/>
          <w:vertAlign w:val="superscript"/>
        </w:rPr>
        <w:t>th</w:t>
      </w:r>
      <w:r w:rsidR="00EE39C9" w:rsidRPr="00347B7D">
        <w:rPr>
          <w:rFonts w:ascii="Arial" w:eastAsia="Arial" w:hAnsi="Arial" w:cs="Arial"/>
          <w:b/>
          <w:bCs/>
        </w:rPr>
        <w:t xml:space="preserve"> </w:t>
      </w:r>
      <w:r w:rsidR="00364C50">
        <w:rPr>
          <w:rFonts w:ascii="Arial" w:eastAsia="Arial" w:hAnsi="Arial" w:cs="Arial"/>
          <w:b/>
          <w:bCs/>
        </w:rPr>
        <w:t>April</w:t>
      </w:r>
      <w:r w:rsidR="00124177" w:rsidRPr="00347B7D">
        <w:rPr>
          <w:rFonts w:ascii="Arial" w:eastAsia="Arial" w:hAnsi="Arial" w:cs="Arial"/>
          <w:b/>
          <w:bCs/>
        </w:rPr>
        <w:t xml:space="preserve"> </w:t>
      </w:r>
      <w:r w:rsidR="00364C50">
        <w:rPr>
          <w:rFonts w:ascii="Arial" w:eastAsia="Arial" w:hAnsi="Arial" w:cs="Arial"/>
          <w:b/>
          <w:bCs/>
        </w:rPr>
        <w:t>2019</w:t>
      </w:r>
      <w:r w:rsidR="009868F0" w:rsidRPr="00347B7D">
        <w:rPr>
          <w:rFonts w:ascii="Arial" w:eastAsia="Arial" w:hAnsi="Arial" w:cs="Arial"/>
          <w:b/>
          <w:bCs/>
        </w:rPr>
        <w:t>)</w:t>
      </w:r>
    </w:p>
    <w:p w14:paraId="1452E766" w14:textId="77777777" w:rsidR="009868F0" w:rsidRPr="00E81AE5" w:rsidRDefault="009868F0" w:rsidP="00EA2340">
      <w:pPr>
        <w:jc w:val="both"/>
        <w:rPr>
          <w:rFonts w:ascii="Arial" w:hAnsi="Arial" w:cs="Arial"/>
          <w:b/>
          <w:bCs/>
          <w:sz w:val="22"/>
          <w:szCs w:val="22"/>
        </w:rPr>
      </w:pPr>
    </w:p>
    <w:p w14:paraId="4B83EC7A" w14:textId="77777777" w:rsidR="001026C5" w:rsidRDefault="001026C5">
      <w:pPr>
        <w:jc w:val="both"/>
        <w:rPr>
          <w:rFonts w:ascii="Arial" w:eastAsia="Arial" w:hAnsi="Arial" w:cs="Arial"/>
          <w:b/>
          <w:bCs/>
          <w:sz w:val="22"/>
          <w:szCs w:val="22"/>
        </w:rPr>
      </w:pPr>
    </w:p>
    <w:p w14:paraId="1F13D58B" w14:textId="77777777" w:rsidR="00F30F7A" w:rsidRPr="00732F7D" w:rsidRDefault="00F30F7A" w:rsidP="009C53CE">
      <w:pPr>
        <w:jc w:val="center"/>
        <w:rPr>
          <w:rFonts w:ascii="Arial" w:eastAsia="Arial" w:hAnsi="Arial" w:cs="Arial"/>
          <w:b/>
          <w:bCs/>
        </w:rPr>
      </w:pPr>
      <w:r w:rsidRPr="00732F7D">
        <w:rPr>
          <w:rFonts w:ascii="Arial" w:eastAsia="Arial" w:hAnsi="Arial" w:cs="Arial"/>
          <w:b/>
          <w:bCs/>
        </w:rPr>
        <w:t>QUESTIONS AND AN</w:t>
      </w:r>
      <w:r w:rsidR="00C705DE" w:rsidRPr="00732F7D">
        <w:rPr>
          <w:rFonts w:ascii="Arial" w:eastAsia="Arial" w:hAnsi="Arial" w:cs="Arial"/>
          <w:b/>
          <w:bCs/>
        </w:rPr>
        <w:t>S</w:t>
      </w:r>
      <w:r w:rsidRPr="00732F7D">
        <w:rPr>
          <w:rFonts w:ascii="Arial" w:eastAsia="Arial" w:hAnsi="Arial" w:cs="Arial"/>
          <w:b/>
          <w:bCs/>
        </w:rPr>
        <w:t>WERS</w:t>
      </w:r>
      <w:r w:rsidR="00E62F22" w:rsidRPr="00732F7D">
        <w:rPr>
          <w:rFonts w:ascii="Arial" w:eastAsia="Arial" w:hAnsi="Arial" w:cs="Arial"/>
          <w:b/>
          <w:bCs/>
        </w:rPr>
        <w:t xml:space="preserve"> </w:t>
      </w:r>
      <w:proofErr w:type="gramStart"/>
      <w:r w:rsidRPr="00732F7D">
        <w:rPr>
          <w:rFonts w:ascii="Arial" w:eastAsia="Arial" w:hAnsi="Arial" w:cs="Arial"/>
          <w:b/>
          <w:bCs/>
        </w:rPr>
        <w:t>IN CONNECTION WITH</w:t>
      </w:r>
      <w:proofErr w:type="gramEnd"/>
      <w:r w:rsidRPr="00732F7D">
        <w:rPr>
          <w:rFonts w:ascii="Arial" w:eastAsia="Arial" w:hAnsi="Arial" w:cs="Arial"/>
          <w:b/>
          <w:bCs/>
        </w:rPr>
        <w:t xml:space="preserve"> THE </w:t>
      </w:r>
      <w:r w:rsidR="000F0FA3" w:rsidRPr="00732F7D">
        <w:rPr>
          <w:rFonts w:ascii="Arial" w:eastAsia="Arial" w:hAnsi="Arial" w:cs="Arial"/>
          <w:b/>
          <w:bCs/>
        </w:rPr>
        <w:t>31</w:t>
      </w:r>
      <w:r w:rsidR="000F0FA3" w:rsidRPr="00732F7D">
        <w:rPr>
          <w:rFonts w:ascii="Arial" w:eastAsia="Arial" w:hAnsi="Arial" w:cs="Arial"/>
          <w:b/>
          <w:bCs/>
          <w:vertAlign w:val="superscript"/>
        </w:rPr>
        <w:t>st</w:t>
      </w:r>
      <w:r w:rsidR="000F0FA3" w:rsidRPr="00732F7D">
        <w:rPr>
          <w:rFonts w:ascii="Arial" w:eastAsia="Arial" w:hAnsi="Arial" w:cs="Arial"/>
          <w:b/>
          <w:bCs/>
        </w:rPr>
        <w:t xml:space="preserve"> </w:t>
      </w:r>
      <w:r w:rsidR="00EE39C9" w:rsidRPr="00732F7D">
        <w:rPr>
          <w:rFonts w:ascii="Arial" w:eastAsia="Arial" w:hAnsi="Arial" w:cs="Arial"/>
          <w:b/>
          <w:bCs/>
        </w:rPr>
        <w:t>SUPPLEMENTA</w:t>
      </w:r>
      <w:r w:rsidR="00F83038" w:rsidRPr="00732F7D">
        <w:rPr>
          <w:rFonts w:ascii="Arial" w:eastAsia="Arial" w:hAnsi="Arial" w:cs="Arial"/>
          <w:b/>
          <w:bCs/>
        </w:rPr>
        <w:t>R</w:t>
      </w:r>
      <w:r w:rsidR="00EE39C9" w:rsidRPr="00732F7D">
        <w:rPr>
          <w:rFonts w:ascii="Arial" w:eastAsia="Arial" w:hAnsi="Arial" w:cs="Arial"/>
          <w:b/>
          <w:bCs/>
        </w:rPr>
        <w:t xml:space="preserve">Y </w:t>
      </w:r>
      <w:r w:rsidRPr="00732F7D">
        <w:rPr>
          <w:rFonts w:ascii="Arial" w:eastAsia="Arial" w:hAnsi="Arial" w:cs="Arial"/>
          <w:b/>
          <w:bCs/>
        </w:rPr>
        <w:t>OFFSHORE LICENSING ROUND</w:t>
      </w:r>
      <w:r w:rsidR="00E62F22" w:rsidRPr="00732F7D">
        <w:rPr>
          <w:rFonts w:ascii="Arial" w:eastAsia="Arial" w:hAnsi="Arial" w:cs="Arial"/>
          <w:b/>
          <w:bCs/>
        </w:rPr>
        <w:t>.</w:t>
      </w:r>
    </w:p>
    <w:p w14:paraId="56F40B70" w14:textId="77777777" w:rsidR="00E452EA" w:rsidRPr="00732F7D" w:rsidRDefault="00E452EA">
      <w:pPr>
        <w:jc w:val="both"/>
        <w:rPr>
          <w:rFonts w:ascii="Arial" w:eastAsia="Arial" w:hAnsi="Arial" w:cs="Arial"/>
          <w:b/>
          <w:bCs/>
        </w:rPr>
      </w:pPr>
    </w:p>
    <w:p w14:paraId="6B67AEA3" w14:textId="77777777" w:rsidR="009C53CE" w:rsidRDefault="009C53CE">
      <w:pPr>
        <w:jc w:val="both"/>
        <w:rPr>
          <w:rFonts w:ascii="Arial" w:eastAsia="Arial" w:hAnsi="Arial" w:cs="Arial"/>
        </w:rPr>
      </w:pPr>
    </w:p>
    <w:p w14:paraId="03A39316" w14:textId="77777777" w:rsidR="00041245" w:rsidRPr="00732F7D" w:rsidRDefault="00AA2090">
      <w:pPr>
        <w:jc w:val="both"/>
        <w:rPr>
          <w:rFonts w:ascii="Arial" w:eastAsia="Arial" w:hAnsi="Arial" w:cs="Arial"/>
        </w:rPr>
      </w:pPr>
      <w:r w:rsidRPr="00732F7D">
        <w:rPr>
          <w:rFonts w:ascii="Arial" w:eastAsia="Arial" w:hAnsi="Arial" w:cs="Arial"/>
        </w:rPr>
        <w:t xml:space="preserve">Questions raised by potential applicants concerning this Round for answer by </w:t>
      </w:r>
      <w:r w:rsidR="00940CEC" w:rsidRPr="00732F7D">
        <w:rPr>
          <w:rFonts w:ascii="Arial" w:eastAsia="Arial" w:hAnsi="Arial" w:cs="Arial"/>
        </w:rPr>
        <w:t>the OGA</w:t>
      </w:r>
      <w:r w:rsidRPr="00732F7D">
        <w:rPr>
          <w:rFonts w:ascii="Arial" w:eastAsia="Arial" w:hAnsi="Arial" w:cs="Arial"/>
        </w:rPr>
        <w:t xml:space="preserve"> should be </w:t>
      </w:r>
      <w:r w:rsidR="00204141" w:rsidRPr="00732F7D">
        <w:rPr>
          <w:rFonts w:ascii="Arial" w:eastAsia="Arial" w:hAnsi="Arial" w:cs="Arial"/>
          <w:i/>
          <w:iCs/>
        </w:rPr>
        <w:t>emailed</w:t>
      </w:r>
      <w:r w:rsidRPr="00732F7D">
        <w:rPr>
          <w:rFonts w:ascii="Arial" w:eastAsia="Arial" w:hAnsi="Arial" w:cs="Arial"/>
        </w:rPr>
        <w:t xml:space="preserve"> to the contact below.  </w:t>
      </w:r>
      <w:r w:rsidR="00940CEC" w:rsidRPr="00732F7D">
        <w:rPr>
          <w:rFonts w:ascii="Arial" w:eastAsia="Arial" w:hAnsi="Arial" w:cs="Arial"/>
        </w:rPr>
        <w:t>The OGA</w:t>
      </w:r>
      <w:r w:rsidRPr="00732F7D">
        <w:rPr>
          <w:rFonts w:ascii="Arial" w:eastAsia="Arial" w:hAnsi="Arial" w:cs="Arial"/>
        </w:rPr>
        <w:t xml:space="preserve"> will aim to post </w:t>
      </w:r>
      <w:r w:rsidR="002A7EFB" w:rsidRPr="00732F7D">
        <w:rPr>
          <w:rFonts w:ascii="Arial" w:eastAsia="Arial" w:hAnsi="Arial" w:cs="Arial"/>
        </w:rPr>
        <w:t xml:space="preserve">any </w:t>
      </w:r>
      <w:r w:rsidR="002A7EFB" w:rsidRPr="00732F7D">
        <w:rPr>
          <w:rFonts w:ascii="Arial" w:eastAsia="Arial" w:hAnsi="Arial" w:cs="Arial"/>
          <w:i/>
          <w:iCs/>
        </w:rPr>
        <w:t>new</w:t>
      </w:r>
      <w:r w:rsidRPr="00732F7D">
        <w:rPr>
          <w:rFonts w:ascii="Arial" w:eastAsia="Arial" w:hAnsi="Arial" w:cs="Arial"/>
        </w:rPr>
        <w:t xml:space="preserve"> question</w:t>
      </w:r>
      <w:r w:rsidR="002A7EFB" w:rsidRPr="00732F7D">
        <w:rPr>
          <w:rFonts w:ascii="Arial" w:eastAsia="Arial" w:hAnsi="Arial" w:cs="Arial"/>
        </w:rPr>
        <w:t>s</w:t>
      </w:r>
      <w:r w:rsidRPr="00732F7D">
        <w:rPr>
          <w:rFonts w:ascii="Arial" w:eastAsia="Arial" w:hAnsi="Arial" w:cs="Arial"/>
        </w:rPr>
        <w:t xml:space="preserve"> and answer</w:t>
      </w:r>
      <w:r w:rsidR="002A7EFB" w:rsidRPr="00732F7D">
        <w:rPr>
          <w:rFonts w:ascii="Arial" w:eastAsia="Arial" w:hAnsi="Arial" w:cs="Arial"/>
        </w:rPr>
        <w:t>s</w:t>
      </w:r>
      <w:r w:rsidRPr="00732F7D">
        <w:rPr>
          <w:rFonts w:ascii="Arial" w:eastAsia="Arial" w:hAnsi="Arial" w:cs="Arial"/>
        </w:rPr>
        <w:t xml:space="preserve"> within five working days on this page</w:t>
      </w:r>
      <w:r w:rsidR="00041245" w:rsidRPr="00732F7D">
        <w:rPr>
          <w:rFonts w:ascii="Arial" w:eastAsia="Arial" w:hAnsi="Arial" w:cs="Arial"/>
        </w:rPr>
        <w:t>.</w:t>
      </w:r>
    </w:p>
    <w:p w14:paraId="354E6DD0" w14:textId="77777777" w:rsidR="00041245" w:rsidRPr="00732F7D" w:rsidRDefault="00041245" w:rsidP="00EA2340">
      <w:pPr>
        <w:jc w:val="both"/>
        <w:rPr>
          <w:rFonts w:ascii="Arial" w:hAnsi="Arial" w:cs="Arial"/>
        </w:rPr>
      </w:pPr>
    </w:p>
    <w:p w14:paraId="1CD78E98" w14:textId="77777777" w:rsidR="00AA2090" w:rsidRPr="00732F7D" w:rsidRDefault="00AA2090">
      <w:pPr>
        <w:jc w:val="both"/>
        <w:rPr>
          <w:rFonts w:ascii="Arial" w:eastAsia="Arial" w:hAnsi="Arial" w:cs="Arial"/>
        </w:rPr>
      </w:pPr>
      <w:r w:rsidRPr="00732F7D">
        <w:rPr>
          <w:rFonts w:ascii="Arial" w:eastAsia="Arial" w:hAnsi="Arial" w:cs="Arial"/>
        </w:rPr>
        <w:t>Questions will only be answered in this way, to ensure that the same information is available to everyone at the same time</w:t>
      </w:r>
      <w:r w:rsidR="002A7EFB" w:rsidRPr="00732F7D">
        <w:rPr>
          <w:rFonts w:ascii="Arial" w:eastAsia="Arial" w:hAnsi="Arial" w:cs="Arial"/>
        </w:rPr>
        <w:t>,</w:t>
      </w:r>
      <w:r w:rsidRPr="00732F7D">
        <w:rPr>
          <w:rFonts w:ascii="Arial" w:eastAsia="Arial" w:hAnsi="Arial" w:cs="Arial"/>
        </w:rPr>
        <w:t xml:space="preserve"> in the interests of a transparent and fair process.</w:t>
      </w:r>
    </w:p>
    <w:p w14:paraId="14862261" w14:textId="77777777" w:rsidR="0019005E" w:rsidRPr="00732F7D" w:rsidRDefault="0019005E" w:rsidP="00EA2340">
      <w:pPr>
        <w:jc w:val="both"/>
        <w:rPr>
          <w:rFonts w:ascii="Arial" w:hAnsi="Arial" w:cs="Arial"/>
        </w:rPr>
      </w:pPr>
    </w:p>
    <w:p w14:paraId="78E1AFD0" w14:textId="77777777" w:rsidR="00F83038" w:rsidRPr="00732F7D" w:rsidRDefault="00F83038">
      <w:pPr>
        <w:autoSpaceDE w:val="0"/>
        <w:jc w:val="both"/>
        <w:rPr>
          <w:rFonts w:ascii="Arial" w:eastAsia="Arial" w:hAnsi="Arial" w:cs="Arial"/>
          <w:b/>
          <w:bCs/>
        </w:rPr>
      </w:pPr>
    </w:p>
    <w:p w14:paraId="0522B0D5" w14:textId="77777777" w:rsidR="00AA2090" w:rsidRPr="00732F7D" w:rsidRDefault="00327CEF">
      <w:pPr>
        <w:autoSpaceDE w:val="0"/>
        <w:jc w:val="both"/>
        <w:rPr>
          <w:rFonts w:ascii="Arial" w:eastAsia="Arial" w:hAnsi="Arial" w:cs="Arial"/>
          <w:b/>
          <w:bCs/>
        </w:rPr>
      </w:pPr>
      <w:r w:rsidRPr="00732F7D">
        <w:rPr>
          <w:rFonts w:ascii="Arial" w:eastAsia="Arial" w:hAnsi="Arial" w:cs="Arial"/>
          <w:b/>
          <w:bCs/>
        </w:rPr>
        <w:t>Contact to be e-mailed with your question</w:t>
      </w:r>
      <w:r w:rsidR="00AB0F9C" w:rsidRPr="00732F7D">
        <w:rPr>
          <w:rFonts w:ascii="Arial" w:eastAsia="Arial" w:hAnsi="Arial" w:cs="Arial"/>
          <w:b/>
          <w:bCs/>
        </w:rPr>
        <w:t>s</w:t>
      </w:r>
      <w:r w:rsidR="009C53CE">
        <w:rPr>
          <w:rFonts w:ascii="Arial" w:eastAsia="Arial" w:hAnsi="Arial" w:cs="Arial"/>
          <w:b/>
          <w:bCs/>
        </w:rPr>
        <w:t>:</w:t>
      </w:r>
      <w:r w:rsidRPr="00732F7D">
        <w:rPr>
          <w:rFonts w:ascii="Arial" w:eastAsia="Arial" w:hAnsi="Arial" w:cs="Arial"/>
          <w:b/>
          <w:bCs/>
        </w:rPr>
        <w:t xml:space="preserve"> </w:t>
      </w:r>
    </w:p>
    <w:p w14:paraId="1EE68F02" w14:textId="77777777" w:rsidR="00AA2090" w:rsidRPr="00732F7D" w:rsidRDefault="00AA2090" w:rsidP="00EA2340">
      <w:pPr>
        <w:autoSpaceDE w:val="0"/>
        <w:jc w:val="both"/>
        <w:rPr>
          <w:rFonts w:ascii="Arial" w:hAnsi="Arial" w:cs="Arial"/>
        </w:rPr>
      </w:pPr>
    </w:p>
    <w:p w14:paraId="0E08F8FA" w14:textId="77777777" w:rsidR="001C78D7" w:rsidRPr="00732F7D" w:rsidRDefault="001C78D7">
      <w:pPr>
        <w:autoSpaceDE w:val="0"/>
        <w:ind w:left="720"/>
        <w:jc w:val="both"/>
        <w:rPr>
          <w:rFonts w:ascii="Arial" w:eastAsia="Arial" w:hAnsi="Arial" w:cs="Arial"/>
        </w:rPr>
      </w:pPr>
    </w:p>
    <w:p w14:paraId="0944399C" w14:textId="77777777" w:rsidR="001C78D7" w:rsidRPr="00732F7D" w:rsidRDefault="001C78D7" w:rsidP="001C78D7">
      <w:pPr>
        <w:rPr>
          <w:b/>
        </w:rPr>
      </w:pPr>
      <w:r w:rsidRPr="00732F7D">
        <w:rPr>
          <w:b/>
        </w:rPr>
        <w:t>Contact us</w:t>
      </w:r>
    </w:p>
    <w:p w14:paraId="1962BE49" w14:textId="77777777" w:rsidR="001C78D7" w:rsidRPr="00732F7D" w:rsidRDefault="001C78D7" w:rsidP="001C78D7">
      <w:pPr>
        <w:rPr>
          <w:rFonts w:cstheme="minorHAnsi"/>
          <w:lang w:val="en-US" w:eastAsia="en-GB"/>
        </w:rPr>
      </w:pPr>
    </w:p>
    <w:p w14:paraId="7C2ABB3A" w14:textId="77777777" w:rsidR="001C78D7" w:rsidRPr="00732F7D" w:rsidRDefault="001C78D7" w:rsidP="001C78D7">
      <w:pPr>
        <w:rPr>
          <w:rFonts w:ascii="Arial" w:hAnsi="Arial" w:cs="Arial"/>
          <w:lang w:val="en-US" w:eastAsia="en-GB"/>
        </w:rPr>
      </w:pPr>
      <w:r w:rsidRPr="00732F7D">
        <w:rPr>
          <w:rFonts w:ascii="Arial" w:hAnsi="Arial" w:cs="Arial"/>
          <w:lang w:val="en-US" w:eastAsia="en-GB"/>
        </w:rPr>
        <w:t>Alistair Macfarlane</w:t>
      </w:r>
    </w:p>
    <w:p w14:paraId="0E5D8F91" w14:textId="77777777" w:rsidR="001C78D7" w:rsidRPr="00732F7D" w:rsidRDefault="001C78D7" w:rsidP="001C78D7">
      <w:pPr>
        <w:rPr>
          <w:rFonts w:ascii="Arial" w:hAnsi="Arial" w:cs="Arial"/>
          <w:lang w:val="en-US" w:eastAsia="en-GB"/>
        </w:rPr>
      </w:pPr>
      <w:r w:rsidRPr="00732F7D">
        <w:rPr>
          <w:rFonts w:ascii="Arial" w:hAnsi="Arial" w:cs="Arial"/>
          <w:lang w:val="en-US" w:eastAsia="en-GB"/>
        </w:rPr>
        <w:t xml:space="preserve">Business Development Manager - Central North Sea </w:t>
      </w:r>
    </w:p>
    <w:p w14:paraId="36596BF1" w14:textId="77777777" w:rsidR="001C78D7" w:rsidRPr="00732F7D" w:rsidRDefault="001C78D7" w:rsidP="001C78D7">
      <w:pPr>
        <w:rPr>
          <w:rFonts w:ascii="Arial" w:hAnsi="Arial" w:cs="Arial"/>
          <w:lang w:val="en-US" w:eastAsia="en-GB"/>
        </w:rPr>
      </w:pPr>
      <w:r w:rsidRPr="00732F7D">
        <w:rPr>
          <w:rFonts w:ascii="Arial" w:hAnsi="Arial" w:cs="Arial"/>
          <w:lang w:val="en-US" w:eastAsia="en-GB"/>
        </w:rPr>
        <w:t>Tel: 0300 020 1092 </w:t>
      </w:r>
    </w:p>
    <w:p w14:paraId="1F8ED438" w14:textId="77777777" w:rsidR="001C78D7" w:rsidRPr="00732F7D" w:rsidRDefault="001C78D7" w:rsidP="001C78D7">
      <w:pPr>
        <w:autoSpaceDE w:val="0"/>
        <w:ind w:left="720"/>
        <w:jc w:val="both"/>
        <w:rPr>
          <w:rFonts w:ascii="Arial" w:eastAsia="Arial" w:hAnsi="Arial" w:cs="Arial"/>
        </w:rPr>
      </w:pPr>
      <w:r w:rsidRPr="00732F7D">
        <w:rPr>
          <w:color w:val="1F497D"/>
          <w:lang w:val="en-US" w:eastAsia="en-GB"/>
        </w:rPr>
        <w:t xml:space="preserve">E: </w:t>
      </w:r>
      <w:hyperlink r:id="rId10" w:history="1">
        <w:r w:rsidRPr="00732F7D">
          <w:rPr>
            <w:rStyle w:val="Hyperlink"/>
            <w:lang w:val="en-US" w:eastAsia="en-GB"/>
          </w:rPr>
          <w:t>alistair.macfarlane@ogauthority.co.uk</w:t>
        </w:r>
      </w:hyperlink>
    </w:p>
    <w:p w14:paraId="45702FC0" w14:textId="77777777" w:rsidR="001C78D7" w:rsidRPr="00732F7D" w:rsidRDefault="001C78D7">
      <w:pPr>
        <w:autoSpaceDE w:val="0"/>
        <w:ind w:left="720"/>
        <w:jc w:val="both"/>
        <w:rPr>
          <w:rFonts w:ascii="Arial" w:eastAsia="Arial" w:hAnsi="Arial" w:cs="Arial"/>
        </w:rPr>
      </w:pPr>
    </w:p>
    <w:p w14:paraId="7BE4B68F" w14:textId="77777777" w:rsidR="00CF05EB" w:rsidRPr="00732F7D" w:rsidRDefault="00CF05EB" w:rsidP="00EA2340">
      <w:pPr>
        <w:autoSpaceDE w:val="0"/>
        <w:ind w:left="720"/>
        <w:jc w:val="both"/>
        <w:rPr>
          <w:rStyle w:val="Hyperlink"/>
          <w:rFonts w:ascii="Arial" w:hAnsi="Arial" w:cs="Arial"/>
          <w:color w:val="auto"/>
        </w:rPr>
      </w:pPr>
    </w:p>
    <w:p w14:paraId="103C75AD" w14:textId="77777777" w:rsidR="00AE6F47" w:rsidRPr="00732F7D" w:rsidRDefault="00EB2848">
      <w:pPr>
        <w:pBdr>
          <w:bottom w:val="single" w:sz="4" w:space="1" w:color="auto"/>
        </w:pBdr>
        <w:jc w:val="both"/>
        <w:rPr>
          <w:rFonts w:ascii="Arial" w:eastAsia="Arial" w:hAnsi="Arial" w:cs="Arial"/>
        </w:rPr>
      </w:pPr>
      <w:r w:rsidRPr="00732F7D">
        <w:rPr>
          <w:rFonts w:ascii="Arial" w:eastAsia="Arial" w:hAnsi="Arial" w:cs="Arial"/>
        </w:rPr>
        <w:t xml:space="preserve">Questions regarding </w:t>
      </w:r>
      <w:r w:rsidRPr="00732F7D">
        <w:rPr>
          <w:rFonts w:ascii="Arial" w:eastAsia="Arial" w:hAnsi="Arial" w:cs="Arial"/>
          <w:u w:val="single"/>
        </w:rPr>
        <w:t>LARRY</w:t>
      </w:r>
      <w:r w:rsidRPr="00732F7D">
        <w:rPr>
          <w:rFonts w:ascii="Arial" w:eastAsia="Arial" w:hAnsi="Arial" w:cs="Arial"/>
        </w:rPr>
        <w:t xml:space="preserve"> should be directed </w:t>
      </w:r>
      <w:r w:rsidR="0069563A" w:rsidRPr="00732F7D">
        <w:rPr>
          <w:rFonts w:ascii="Arial" w:eastAsia="Arial" w:hAnsi="Arial" w:cs="Arial"/>
        </w:rPr>
        <w:t xml:space="preserve">initially </w:t>
      </w:r>
      <w:r w:rsidRPr="00732F7D">
        <w:rPr>
          <w:rFonts w:ascii="Arial" w:eastAsia="Arial" w:hAnsi="Arial" w:cs="Arial"/>
        </w:rPr>
        <w:t xml:space="preserve">to the </w:t>
      </w:r>
      <w:r w:rsidRPr="00732F7D">
        <w:rPr>
          <w:rFonts w:ascii="Arial" w:eastAsia="Arial" w:hAnsi="Arial" w:cs="Arial"/>
          <w:u w:val="single"/>
        </w:rPr>
        <w:t>Portal Help Desk</w:t>
      </w:r>
      <w:r w:rsidRPr="00732F7D">
        <w:rPr>
          <w:rFonts w:ascii="Arial" w:eastAsia="Arial" w:hAnsi="Arial" w:cs="Arial"/>
        </w:rPr>
        <w:t>.</w:t>
      </w:r>
    </w:p>
    <w:p w14:paraId="7A7B2CB6" w14:textId="77777777" w:rsidR="00AE6F47" w:rsidRPr="00732F7D" w:rsidRDefault="00AE6F47" w:rsidP="00EA2340">
      <w:pPr>
        <w:pBdr>
          <w:bottom w:val="single" w:sz="4" w:space="1" w:color="auto"/>
        </w:pBdr>
        <w:jc w:val="both"/>
        <w:rPr>
          <w:rFonts w:ascii="Arial" w:hAnsi="Arial" w:cs="Arial"/>
        </w:rPr>
      </w:pPr>
    </w:p>
    <w:p w14:paraId="626F2B2A" w14:textId="77777777" w:rsidR="00687046" w:rsidRPr="00732F7D" w:rsidRDefault="00687046" w:rsidP="00EA2340">
      <w:pPr>
        <w:pBdr>
          <w:bottom w:val="single" w:sz="4" w:space="1" w:color="auto"/>
        </w:pBdr>
        <w:jc w:val="both"/>
        <w:rPr>
          <w:rFonts w:ascii="Arial" w:hAnsi="Arial" w:cs="Arial"/>
        </w:rPr>
      </w:pPr>
    </w:p>
    <w:p w14:paraId="5DD7DD92" w14:textId="77777777" w:rsidR="00687046" w:rsidRPr="00732F7D" w:rsidRDefault="00687046">
      <w:pPr>
        <w:pBdr>
          <w:bottom w:val="single" w:sz="4" w:space="1" w:color="auto"/>
        </w:pBdr>
        <w:ind w:firstLine="720"/>
        <w:jc w:val="both"/>
        <w:rPr>
          <w:rFonts w:ascii="Arial" w:eastAsia="Arial" w:hAnsi="Arial" w:cs="Arial"/>
        </w:rPr>
      </w:pPr>
      <w:r w:rsidRPr="00732F7D">
        <w:rPr>
          <w:rFonts w:ascii="Arial" w:eastAsia="Arial" w:hAnsi="Arial" w:cs="Arial"/>
        </w:rPr>
        <w:t>LARRY Queries – Portal Helpdesk</w:t>
      </w:r>
    </w:p>
    <w:p w14:paraId="3D5C18C9" w14:textId="77777777" w:rsidR="00687046" w:rsidRPr="00732F7D" w:rsidRDefault="00687046">
      <w:pPr>
        <w:pBdr>
          <w:bottom w:val="single" w:sz="4" w:space="1" w:color="auto"/>
        </w:pBdr>
        <w:ind w:firstLine="720"/>
        <w:jc w:val="both"/>
        <w:rPr>
          <w:rFonts w:ascii="Arial" w:eastAsia="Arial" w:hAnsi="Arial" w:cs="Arial"/>
        </w:rPr>
      </w:pPr>
      <w:r w:rsidRPr="00732F7D">
        <w:rPr>
          <w:rFonts w:ascii="Arial" w:eastAsia="Arial" w:hAnsi="Arial" w:cs="Arial"/>
        </w:rPr>
        <w:t>Tel: 0300 067 1682</w:t>
      </w:r>
    </w:p>
    <w:p w14:paraId="112F9C55" w14:textId="77777777" w:rsidR="00687046" w:rsidRPr="00732F7D" w:rsidRDefault="00687046">
      <w:pPr>
        <w:pBdr>
          <w:bottom w:val="single" w:sz="4" w:space="1" w:color="auto"/>
        </w:pBdr>
        <w:ind w:firstLine="720"/>
        <w:jc w:val="both"/>
        <w:rPr>
          <w:rFonts w:ascii="Arial" w:eastAsia="Arial" w:hAnsi="Arial" w:cs="Arial"/>
        </w:rPr>
      </w:pPr>
      <w:r w:rsidRPr="00732F7D">
        <w:rPr>
          <w:rFonts w:ascii="Arial" w:eastAsia="Arial" w:hAnsi="Arial" w:cs="Arial"/>
        </w:rPr>
        <w:t xml:space="preserve">Email: </w:t>
      </w:r>
      <w:hyperlink r:id="rId11" w:history="1">
        <w:r w:rsidRPr="00732F7D">
          <w:rPr>
            <w:rStyle w:val="Hyperlink"/>
            <w:rFonts w:ascii="Arial" w:eastAsia="Arial" w:hAnsi="Arial" w:cs="Arial"/>
          </w:rPr>
          <w:t>ukop@ogauthority.co.uk</w:t>
        </w:r>
      </w:hyperlink>
    </w:p>
    <w:p w14:paraId="6A8D1D07" w14:textId="77777777" w:rsidR="00687046" w:rsidRPr="00E81AE5" w:rsidRDefault="00687046" w:rsidP="00EA2340">
      <w:pPr>
        <w:pBdr>
          <w:bottom w:val="single" w:sz="4" w:space="1" w:color="auto"/>
        </w:pBdr>
        <w:jc w:val="both"/>
        <w:rPr>
          <w:rFonts w:ascii="Arial" w:hAnsi="Arial" w:cs="Arial"/>
          <w:sz w:val="22"/>
          <w:szCs w:val="22"/>
        </w:rPr>
      </w:pPr>
    </w:p>
    <w:p w14:paraId="429F7F91" w14:textId="77777777" w:rsidR="002A7EFB" w:rsidRPr="00E81AE5" w:rsidRDefault="002A7EFB" w:rsidP="00EA2340">
      <w:pPr>
        <w:pBdr>
          <w:bottom w:val="single" w:sz="4" w:space="1" w:color="auto"/>
        </w:pBdr>
        <w:jc w:val="both"/>
        <w:rPr>
          <w:rFonts w:ascii="Arial" w:hAnsi="Arial" w:cs="Arial"/>
          <w:b/>
          <w:color w:val="FF0000"/>
          <w:sz w:val="22"/>
          <w:szCs w:val="22"/>
        </w:rPr>
      </w:pPr>
    </w:p>
    <w:p w14:paraId="7BEDB856" w14:textId="77777777" w:rsidR="00610685" w:rsidRPr="00E81AE5" w:rsidRDefault="00610685" w:rsidP="00EA2340">
      <w:pPr>
        <w:jc w:val="both"/>
        <w:rPr>
          <w:rFonts w:ascii="Arial" w:hAnsi="Arial" w:cs="Arial"/>
          <w:b/>
          <w:color w:val="FF0000"/>
          <w:sz w:val="22"/>
          <w:szCs w:val="22"/>
        </w:rPr>
      </w:pPr>
    </w:p>
    <w:p w14:paraId="69C5B333" w14:textId="77777777" w:rsidR="00223690" w:rsidRPr="00732F7D" w:rsidRDefault="00223690">
      <w:pPr>
        <w:jc w:val="both"/>
        <w:rPr>
          <w:rFonts w:ascii="Arial" w:eastAsia="Arial" w:hAnsi="Arial" w:cs="Arial"/>
        </w:rPr>
      </w:pPr>
      <w:r w:rsidRPr="00732F7D">
        <w:rPr>
          <w:rFonts w:ascii="Arial" w:eastAsia="Arial" w:hAnsi="Arial" w:cs="Arial"/>
        </w:rPr>
        <w:t xml:space="preserve">Questions and Answers will be split into </w:t>
      </w:r>
      <w:r w:rsidR="00A838EB" w:rsidRPr="00732F7D">
        <w:rPr>
          <w:rFonts w:ascii="Arial" w:eastAsia="Arial" w:hAnsi="Arial" w:cs="Arial"/>
        </w:rPr>
        <w:t>two</w:t>
      </w:r>
      <w:r w:rsidRPr="00732F7D">
        <w:rPr>
          <w:rFonts w:ascii="Arial" w:eastAsia="Arial" w:hAnsi="Arial" w:cs="Arial"/>
        </w:rPr>
        <w:t xml:space="preserve"> sections; one section will relate to </w:t>
      </w:r>
      <w:hyperlink w:anchor="Policy" w:history="1">
        <w:r w:rsidRPr="00732F7D">
          <w:rPr>
            <w:rStyle w:val="Hyperlink"/>
            <w:rFonts w:ascii="Arial" w:eastAsia="Arial" w:hAnsi="Arial" w:cs="Arial"/>
            <w:color w:val="auto"/>
          </w:rPr>
          <w:t>Policy</w:t>
        </w:r>
      </w:hyperlink>
      <w:r w:rsidRPr="00732F7D">
        <w:rPr>
          <w:rFonts w:ascii="Arial" w:eastAsia="Arial" w:hAnsi="Arial" w:cs="Arial"/>
        </w:rPr>
        <w:t xml:space="preserve"> issues around the Licence Round</w:t>
      </w:r>
      <w:r w:rsidR="00A838EB" w:rsidRPr="00732F7D">
        <w:rPr>
          <w:rFonts w:ascii="Arial" w:eastAsia="Arial" w:hAnsi="Arial" w:cs="Arial"/>
        </w:rPr>
        <w:t>; the other relates</w:t>
      </w:r>
      <w:r w:rsidRPr="00732F7D">
        <w:rPr>
          <w:rFonts w:ascii="Arial" w:eastAsia="Arial" w:hAnsi="Arial" w:cs="Arial"/>
        </w:rPr>
        <w:t xml:space="preserve"> to </w:t>
      </w:r>
      <w:r w:rsidR="00A838EB" w:rsidRPr="00732F7D">
        <w:rPr>
          <w:rFonts w:ascii="Arial" w:eastAsia="Arial" w:hAnsi="Arial" w:cs="Arial"/>
        </w:rPr>
        <w:t>the</w:t>
      </w:r>
      <w:r w:rsidRPr="00732F7D">
        <w:rPr>
          <w:rFonts w:ascii="Arial" w:eastAsia="Arial" w:hAnsi="Arial" w:cs="Arial"/>
        </w:rPr>
        <w:t xml:space="preserve"> </w:t>
      </w:r>
      <w:hyperlink w:anchor="LARRY" w:history="1">
        <w:r w:rsidRPr="00732F7D">
          <w:rPr>
            <w:rStyle w:val="Hyperlink"/>
            <w:rFonts w:ascii="Arial" w:eastAsia="Arial" w:hAnsi="Arial" w:cs="Arial"/>
            <w:color w:val="auto"/>
          </w:rPr>
          <w:t>LARRY</w:t>
        </w:r>
      </w:hyperlink>
      <w:r w:rsidRPr="00732F7D">
        <w:rPr>
          <w:rFonts w:ascii="Arial" w:eastAsia="Arial" w:hAnsi="Arial" w:cs="Arial"/>
        </w:rPr>
        <w:t xml:space="preserve"> system.</w:t>
      </w:r>
    </w:p>
    <w:p w14:paraId="6078A463" w14:textId="77777777" w:rsidR="00223690" w:rsidRPr="00732F7D" w:rsidRDefault="00223690" w:rsidP="00EA2340">
      <w:pPr>
        <w:jc w:val="both"/>
        <w:rPr>
          <w:rFonts w:ascii="Arial" w:hAnsi="Arial" w:cs="Arial"/>
          <w:b/>
        </w:rPr>
      </w:pPr>
    </w:p>
    <w:p w14:paraId="0F474348" w14:textId="77777777" w:rsidR="006C3B90" w:rsidRPr="00732F7D" w:rsidRDefault="006C3B90">
      <w:pPr>
        <w:jc w:val="both"/>
        <w:rPr>
          <w:rFonts w:ascii="Arial" w:eastAsia="Arial" w:hAnsi="Arial" w:cs="Arial"/>
        </w:rPr>
      </w:pPr>
      <w:r w:rsidRPr="00732F7D">
        <w:rPr>
          <w:rFonts w:ascii="Arial" w:eastAsia="Arial" w:hAnsi="Arial" w:cs="Arial"/>
        </w:rPr>
        <w:t xml:space="preserve">To view a new Q &amp; A, scroll to the </w:t>
      </w:r>
      <w:r w:rsidRPr="00732F7D">
        <w:rPr>
          <w:rFonts w:ascii="Arial" w:eastAsia="Arial" w:hAnsi="Arial" w:cs="Arial"/>
          <w:i/>
          <w:iCs/>
        </w:rPr>
        <w:t>end</w:t>
      </w:r>
      <w:r w:rsidRPr="00732F7D">
        <w:rPr>
          <w:rFonts w:ascii="Arial" w:eastAsia="Arial" w:hAnsi="Arial" w:cs="Arial"/>
        </w:rPr>
        <w:t xml:space="preserve"> of the relevant section.</w:t>
      </w:r>
    </w:p>
    <w:p w14:paraId="3BECE86A" w14:textId="77777777" w:rsidR="006C3B90" w:rsidRPr="00732F7D" w:rsidRDefault="006C3B90" w:rsidP="00EA2340">
      <w:pPr>
        <w:jc w:val="both"/>
        <w:rPr>
          <w:rFonts w:ascii="Arial" w:hAnsi="Arial" w:cs="Arial"/>
          <w:b/>
        </w:rPr>
      </w:pPr>
    </w:p>
    <w:p w14:paraId="0A9CFA63" w14:textId="77777777" w:rsidR="006C3B90" w:rsidRPr="00732F7D" w:rsidRDefault="006C3B90">
      <w:pPr>
        <w:jc w:val="both"/>
        <w:rPr>
          <w:rFonts w:ascii="Arial" w:eastAsia="Arial" w:hAnsi="Arial" w:cs="Arial"/>
        </w:rPr>
      </w:pPr>
      <w:r w:rsidRPr="00732F7D">
        <w:rPr>
          <w:rFonts w:ascii="Arial" w:eastAsia="Arial" w:hAnsi="Arial" w:cs="Arial"/>
          <w:b/>
          <w:bCs/>
          <w:u w:val="single"/>
        </w:rPr>
        <w:t>P</w:t>
      </w:r>
      <w:r w:rsidR="001C78D7" w:rsidRPr="00732F7D">
        <w:rPr>
          <w:rFonts w:ascii="Arial" w:eastAsia="Arial" w:hAnsi="Arial" w:cs="Arial"/>
          <w:b/>
          <w:bCs/>
          <w:u w:val="single"/>
        </w:rPr>
        <w:t>OLICY</w:t>
      </w:r>
      <w:r w:rsidR="00DB6045" w:rsidRPr="00732F7D">
        <w:rPr>
          <w:rFonts w:ascii="Arial" w:eastAsia="Arial" w:hAnsi="Arial" w:cs="Arial"/>
          <w:b/>
          <w:bCs/>
          <w:u w:val="single"/>
        </w:rPr>
        <w:t xml:space="preserve"> QUESTION (PQ)</w:t>
      </w:r>
      <w:r w:rsidR="001C78D7" w:rsidRPr="00732F7D">
        <w:rPr>
          <w:rFonts w:ascii="Arial" w:eastAsia="Arial" w:hAnsi="Arial" w:cs="Arial"/>
          <w:b/>
          <w:bCs/>
          <w:u w:val="single"/>
        </w:rPr>
        <w:t xml:space="preserve"> </w:t>
      </w:r>
    </w:p>
    <w:p w14:paraId="433E4D34" w14:textId="77777777" w:rsidR="00084AE4" w:rsidRPr="00732F7D" w:rsidRDefault="00084AE4" w:rsidP="00EA2340">
      <w:pPr>
        <w:jc w:val="both"/>
        <w:rPr>
          <w:rFonts w:ascii="Arial" w:hAnsi="Arial" w:cs="Arial"/>
        </w:rPr>
      </w:pPr>
    </w:p>
    <w:p w14:paraId="4824A84B" w14:textId="77777777" w:rsidR="00DB6045" w:rsidRPr="00732F7D" w:rsidRDefault="00DB6045" w:rsidP="00DB6045">
      <w:pPr>
        <w:rPr>
          <w:rFonts w:ascii="Arial" w:hAnsi="Arial" w:cs="Arial"/>
          <w:b/>
        </w:rPr>
      </w:pPr>
      <w:r w:rsidRPr="00732F7D">
        <w:rPr>
          <w:rFonts w:ascii="Arial" w:eastAsia="Arial" w:hAnsi="Arial" w:cs="Arial"/>
          <w:b/>
          <w:bCs/>
        </w:rPr>
        <w:t>PQ1:</w:t>
      </w:r>
      <w:r w:rsidRPr="00732F7D">
        <w:rPr>
          <w:rFonts w:ascii="Arial" w:eastAsia="Arial" w:hAnsi="Arial" w:cs="Arial"/>
          <w:b/>
        </w:rPr>
        <w:t xml:space="preserve"> </w:t>
      </w:r>
      <w:r w:rsidRPr="00732F7D">
        <w:rPr>
          <w:rFonts w:ascii="Arial" w:hAnsi="Arial" w:cs="Arial"/>
          <w:b/>
        </w:rPr>
        <w:t>Has OGA resolved any seismic licencing issues which may impact on the data OGA plans to release?</w:t>
      </w:r>
    </w:p>
    <w:p w14:paraId="41592E5F" w14:textId="77777777" w:rsidR="00DB6045" w:rsidRPr="00732F7D" w:rsidRDefault="00DB6045" w:rsidP="00DB6045">
      <w:pPr>
        <w:pStyle w:val="ListParagraph"/>
        <w:rPr>
          <w:rFonts w:ascii="Arial" w:eastAsiaTheme="minorHAnsi" w:hAnsi="Arial" w:cs="Arial"/>
        </w:rPr>
      </w:pPr>
    </w:p>
    <w:p w14:paraId="1554C649" w14:textId="77777777" w:rsidR="00732F7D" w:rsidRPr="00732F7D" w:rsidRDefault="00DB6045" w:rsidP="00DB6045">
      <w:pPr>
        <w:jc w:val="both"/>
        <w:rPr>
          <w:rFonts w:ascii="Arial" w:eastAsia="Arial" w:hAnsi="Arial" w:cs="Arial"/>
          <w:b/>
          <w:bCs/>
        </w:rPr>
      </w:pPr>
      <w:r w:rsidRPr="00732F7D">
        <w:rPr>
          <w:rFonts w:ascii="Arial" w:eastAsia="Arial" w:hAnsi="Arial" w:cs="Arial"/>
          <w:b/>
          <w:bCs/>
        </w:rPr>
        <w:t xml:space="preserve">PA1: </w:t>
      </w:r>
      <w:r w:rsidR="00732F7D" w:rsidRPr="00732F7D">
        <w:rPr>
          <w:rFonts w:ascii="Arial" w:hAnsi="Arial" w:cs="Arial"/>
        </w:rPr>
        <w:t xml:space="preserve">The OGA has released the relevant data.  Further details can be viewed </w:t>
      </w:r>
      <w:hyperlink r:id="rId12" w:history="1">
        <w:r w:rsidR="00732F7D" w:rsidRPr="00732F7D">
          <w:rPr>
            <w:rStyle w:val="Hyperlink"/>
            <w:rFonts w:ascii="Arial" w:hAnsi="Arial" w:cs="Arial"/>
          </w:rPr>
          <w:t>here</w:t>
        </w:r>
      </w:hyperlink>
    </w:p>
    <w:p w14:paraId="704794D7" w14:textId="77777777" w:rsidR="00732F7D" w:rsidRPr="00732F7D" w:rsidRDefault="00732F7D" w:rsidP="00DB6045">
      <w:pPr>
        <w:jc w:val="both"/>
        <w:rPr>
          <w:rFonts w:ascii="Arial" w:eastAsia="Arial" w:hAnsi="Arial" w:cs="Arial"/>
          <w:b/>
          <w:bCs/>
        </w:rPr>
      </w:pPr>
    </w:p>
    <w:p w14:paraId="0525F066" w14:textId="77777777" w:rsidR="00DB6045" w:rsidRPr="00732F7D" w:rsidRDefault="00DB6045" w:rsidP="00DB6045">
      <w:pPr>
        <w:rPr>
          <w:rFonts w:ascii="Arial" w:hAnsi="Arial" w:cs="Arial"/>
          <w:b/>
        </w:rPr>
      </w:pPr>
    </w:p>
    <w:p w14:paraId="1B8428F0" w14:textId="77777777" w:rsidR="00DB6045" w:rsidRPr="00732F7D" w:rsidRDefault="00DB6045" w:rsidP="00DB6045">
      <w:pPr>
        <w:rPr>
          <w:rFonts w:ascii="Arial" w:hAnsi="Arial" w:cs="Arial"/>
          <w:b/>
        </w:rPr>
      </w:pPr>
      <w:r w:rsidRPr="00732F7D">
        <w:rPr>
          <w:rFonts w:ascii="Arial" w:hAnsi="Arial" w:cs="Arial"/>
          <w:b/>
        </w:rPr>
        <w:lastRenderedPageBreak/>
        <w:t xml:space="preserve">PQ2: In the historic marking scheme, there is a section for Above Ground evaluation which carries 30 marks. With the addition of the Area Plan section there would now appear to be material overlap of these two </w:t>
      </w:r>
      <w:proofErr w:type="gramStart"/>
      <w:r w:rsidRPr="00732F7D">
        <w:rPr>
          <w:rFonts w:ascii="Arial" w:hAnsi="Arial" w:cs="Arial"/>
          <w:b/>
        </w:rPr>
        <w:t>sections ?</w:t>
      </w:r>
      <w:proofErr w:type="gramEnd"/>
    </w:p>
    <w:p w14:paraId="38233549" w14:textId="77777777" w:rsidR="00DB6045" w:rsidRPr="00732F7D" w:rsidRDefault="00DB6045" w:rsidP="00DB6045">
      <w:pPr>
        <w:rPr>
          <w:rFonts w:ascii="Arial" w:hAnsi="Arial" w:cs="Arial"/>
        </w:rPr>
      </w:pPr>
    </w:p>
    <w:p w14:paraId="39C010E7" w14:textId="77777777" w:rsidR="00DB6045" w:rsidRPr="00732F7D" w:rsidRDefault="00DB6045" w:rsidP="00DB6045">
      <w:pPr>
        <w:rPr>
          <w:rFonts w:ascii="Arial" w:hAnsi="Arial" w:cs="Arial"/>
        </w:rPr>
      </w:pPr>
      <w:r w:rsidRPr="00732F7D">
        <w:rPr>
          <w:rFonts w:ascii="Arial" w:hAnsi="Arial" w:cs="Arial"/>
        </w:rPr>
        <w:t>PA2: The Above Ground evaluation marking will be limited to the block or blocks being applied for. The Area Plan evaluation marking will be more widely focussed on the applicants wider strategic vision for the area and area plan optimisation so encompassing more than the specific application. The Technical Guidance notes for the 2019 Supplementary Round will provide further clarification of this.</w:t>
      </w:r>
    </w:p>
    <w:p w14:paraId="18555087" w14:textId="77777777" w:rsidR="00DB6045" w:rsidRPr="00732F7D" w:rsidRDefault="00DB6045" w:rsidP="00DB6045">
      <w:pPr>
        <w:jc w:val="both"/>
        <w:rPr>
          <w:rFonts w:ascii="Arial" w:hAnsi="Arial" w:cs="Arial"/>
          <w:b/>
          <w:u w:val="single"/>
        </w:rPr>
      </w:pPr>
    </w:p>
    <w:p w14:paraId="1BFF0005" w14:textId="77777777" w:rsidR="001C78D7" w:rsidRPr="00364C50" w:rsidRDefault="001C78D7" w:rsidP="00EA2340">
      <w:pPr>
        <w:jc w:val="both"/>
        <w:rPr>
          <w:rFonts w:ascii="Arial" w:hAnsi="Arial" w:cs="Arial"/>
        </w:rPr>
      </w:pPr>
    </w:p>
    <w:p w14:paraId="20B08367" w14:textId="77777777" w:rsidR="00364C50" w:rsidRPr="00364C50" w:rsidRDefault="00364C50" w:rsidP="00364C50">
      <w:pPr>
        <w:rPr>
          <w:rFonts w:ascii="Arial" w:hAnsi="Arial" w:cs="Arial"/>
          <w:b/>
          <w:sz w:val="22"/>
          <w:szCs w:val="22"/>
          <w:lang w:val="en-MY" w:eastAsia="en-US"/>
        </w:rPr>
      </w:pPr>
      <w:r w:rsidRPr="00364C50">
        <w:rPr>
          <w:rFonts w:ascii="Arial" w:hAnsi="Arial" w:cs="Arial"/>
          <w:b/>
        </w:rPr>
        <w:t xml:space="preserve">PQ3 </w:t>
      </w:r>
      <w:r w:rsidRPr="00364C50">
        <w:rPr>
          <w:rFonts w:ascii="Arial" w:hAnsi="Arial" w:cs="Arial"/>
          <w:b/>
          <w:lang w:val="en-MY"/>
        </w:rPr>
        <w:t>Can you tell us if upon award of licenses related to bids in the 31</w:t>
      </w:r>
      <w:r w:rsidRPr="00364C50">
        <w:rPr>
          <w:rFonts w:ascii="Arial" w:hAnsi="Arial" w:cs="Arial"/>
          <w:b/>
          <w:vertAlign w:val="superscript"/>
          <w:lang w:val="en-MY"/>
        </w:rPr>
        <w:t>st</w:t>
      </w:r>
      <w:r w:rsidRPr="00364C50">
        <w:rPr>
          <w:rFonts w:ascii="Arial" w:hAnsi="Arial" w:cs="Arial"/>
          <w:b/>
          <w:lang w:val="en-MY"/>
        </w:rPr>
        <w:t xml:space="preserve"> supplemental round if there is an obligation to purchase the 3</w:t>
      </w:r>
      <w:r w:rsidRPr="00364C50">
        <w:rPr>
          <w:rFonts w:ascii="Arial" w:hAnsi="Arial" w:cs="Arial"/>
          <w:b/>
          <w:vertAlign w:val="superscript"/>
          <w:lang w:val="en-MY"/>
        </w:rPr>
        <w:t>rd</w:t>
      </w:r>
      <w:r w:rsidRPr="00364C50">
        <w:rPr>
          <w:rFonts w:ascii="Arial" w:hAnsi="Arial" w:cs="Arial"/>
          <w:b/>
          <w:lang w:val="en-MY"/>
        </w:rPr>
        <w:t xml:space="preserve"> party multiclient (spec) 3D over the awarded license?  We have looked through the questions and guidance and didn’t see an answer to this.</w:t>
      </w:r>
    </w:p>
    <w:p w14:paraId="2EADDA1D" w14:textId="77777777" w:rsidR="001C78D7" w:rsidRPr="00364C50" w:rsidRDefault="001C78D7" w:rsidP="00EA2340">
      <w:pPr>
        <w:jc w:val="both"/>
        <w:rPr>
          <w:rFonts w:ascii="Arial" w:hAnsi="Arial" w:cs="Arial"/>
        </w:rPr>
      </w:pPr>
    </w:p>
    <w:p w14:paraId="5E956040" w14:textId="77777777" w:rsidR="00364C50" w:rsidRPr="00364C50" w:rsidRDefault="00364C50" w:rsidP="00364C50">
      <w:pPr>
        <w:rPr>
          <w:rFonts w:ascii="Arial" w:hAnsi="Arial" w:cs="Arial"/>
          <w:sz w:val="22"/>
          <w:szCs w:val="22"/>
          <w:lang w:eastAsia="en-US"/>
        </w:rPr>
      </w:pPr>
      <w:r w:rsidRPr="00364C50">
        <w:rPr>
          <w:rFonts w:ascii="Arial" w:hAnsi="Arial" w:cs="Arial"/>
        </w:rPr>
        <w:t xml:space="preserve">PA3: The agreed Work Programme will form an important part of the Licence itself, and the Licence will expire at the end of the Initial Term if the Work Programme has not been completed by then. </w:t>
      </w:r>
    </w:p>
    <w:p w14:paraId="239A6FA9" w14:textId="77777777" w:rsidR="00364C50" w:rsidRPr="00364C50" w:rsidRDefault="00364C50" w:rsidP="00364C50">
      <w:pPr>
        <w:rPr>
          <w:rFonts w:ascii="Arial" w:hAnsi="Arial" w:cs="Arial"/>
        </w:rPr>
      </w:pPr>
    </w:p>
    <w:p w14:paraId="76BA7C42" w14:textId="77777777" w:rsidR="00364C50" w:rsidRPr="00364C50" w:rsidRDefault="00364C50" w:rsidP="00364C50">
      <w:pPr>
        <w:rPr>
          <w:rFonts w:ascii="Arial" w:hAnsi="Arial" w:cs="Arial"/>
        </w:rPr>
      </w:pPr>
      <w:r w:rsidRPr="00364C50">
        <w:rPr>
          <w:rFonts w:ascii="Arial" w:hAnsi="Arial" w:cs="Arial"/>
        </w:rPr>
        <w:t xml:space="preserve">Along with the technical work already carried out, the Work Programme is one of the main factors that the OGA will use to judge between competing applications.  If the applicant intends to licence multiclient data where awarded acreage, it should make this clear in the application as this may attract marks (see guidance on the seaward marking scheme).  </w:t>
      </w:r>
    </w:p>
    <w:p w14:paraId="6B3DF652" w14:textId="77777777" w:rsidR="00364C50" w:rsidRPr="00364C50" w:rsidRDefault="00364C50" w:rsidP="00364C50">
      <w:pPr>
        <w:rPr>
          <w:rFonts w:ascii="Arial" w:hAnsi="Arial" w:cs="Arial"/>
        </w:rPr>
      </w:pPr>
    </w:p>
    <w:p w14:paraId="431F9BDA" w14:textId="77777777" w:rsidR="00364C50" w:rsidRPr="00364C50" w:rsidRDefault="00364C50" w:rsidP="00364C50">
      <w:pPr>
        <w:rPr>
          <w:rFonts w:ascii="Arial" w:hAnsi="Arial" w:cs="Arial"/>
        </w:rPr>
      </w:pPr>
      <w:r w:rsidRPr="00364C50">
        <w:rPr>
          <w:rFonts w:ascii="Arial" w:hAnsi="Arial" w:cs="Arial"/>
        </w:rPr>
        <w:t xml:space="preserve">Where successful, if an applicant is not able to commit to a firm purchase of seismic data at time of application, it will not be included in the licence work programme and the applicant will not be obliged to purchase multiclient seismic data.  </w:t>
      </w:r>
    </w:p>
    <w:p w14:paraId="2EAAE1F9" w14:textId="77777777" w:rsidR="00364C50" w:rsidRPr="00364C50" w:rsidRDefault="00364C50" w:rsidP="00364C50">
      <w:pPr>
        <w:rPr>
          <w:rFonts w:ascii="Arial" w:hAnsi="Arial" w:cs="Arial"/>
        </w:rPr>
      </w:pPr>
      <w:r w:rsidRPr="00364C50">
        <w:rPr>
          <w:rFonts w:ascii="Arial" w:hAnsi="Arial" w:cs="Arial"/>
        </w:rPr>
        <w:t xml:space="preserve">It is however expected that licensees use appropriate data to progress technical evaluations (see Expectations SE-03). </w:t>
      </w:r>
    </w:p>
    <w:p w14:paraId="6CABD6E2" w14:textId="77777777" w:rsidR="00364C50" w:rsidRDefault="00364C50" w:rsidP="00364C50"/>
    <w:p w14:paraId="175F9C9B" w14:textId="77777777" w:rsidR="00364C50" w:rsidRPr="00732F7D" w:rsidRDefault="00364C50" w:rsidP="00EA2340">
      <w:pPr>
        <w:jc w:val="both"/>
        <w:rPr>
          <w:rFonts w:ascii="Arial" w:hAnsi="Arial" w:cs="Arial"/>
        </w:rPr>
      </w:pPr>
    </w:p>
    <w:p w14:paraId="4A07AD91" w14:textId="77777777" w:rsidR="001C78D7" w:rsidRDefault="001C78D7" w:rsidP="00EA2340">
      <w:pPr>
        <w:jc w:val="both"/>
        <w:rPr>
          <w:rFonts w:ascii="Arial" w:hAnsi="Arial" w:cs="Arial"/>
          <w:sz w:val="22"/>
          <w:szCs w:val="22"/>
        </w:rPr>
      </w:pPr>
    </w:p>
    <w:p w14:paraId="239A638D" w14:textId="77777777" w:rsidR="001C78D7" w:rsidRDefault="001C78D7" w:rsidP="00EA2340">
      <w:pPr>
        <w:jc w:val="both"/>
        <w:rPr>
          <w:rFonts w:ascii="Arial" w:hAnsi="Arial" w:cs="Arial"/>
          <w:sz w:val="22"/>
          <w:szCs w:val="22"/>
        </w:rPr>
      </w:pPr>
    </w:p>
    <w:p w14:paraId="74E9E3D3" w14:textId="77777777" w:rsidR="001C78D7" w:rsidRPr="00C24B4D" w:rsidRDefault="001C78D7" w:rsidP="001C78D7">
      <w:pPr>
        <w:jc w:val="both"/>
        <w:rPr>
          <w:rFonts w:ascii="Arial" w:eastAsia="Arial" w:hAnsi="Arial" w:cs="Arial"/>
          <w:b/>
          <w:bCs/>
          <w:u w:val="single"/>
        </w:rPr>
      </w:pPr>
      <w:r w:rsidRPr="00C24B4D">
        <w:rPr>
          <w:rFonts w:ascii="Arial" w:eastAsia="Arial" w:hAnsi="Arial" w:cs="Arial"/>
          <w:b/>
          <w:bCs/>
          <w:u w:val="single"/>
        </w:rPr>
        <w:t>LARRY</w:t>
      </w:r>
      <w:r w:rsidR="00DB6045">
        <w:rPr>
          <w:rFonts w:ascii="Arial" w:eastAsia="Arial" w:hAnsi="Arial" w:cs="Arial"/>
          <w:b/>
          <w:bCs/>
          <w:u w:val="single"/>
        </w:rPr>
        <w:t xml:space="preserve"> QUES</w:t>
      </w:r>
      <w:r w:rsidR="007A23BB">
        <w:rPr>
          <w:rFonts w:ascii="Arial" w:eastAsia="Arial" w:hAnsi="Arial" w:cs="Arial"/>
          <w:b/>
          <w:bCs/>
          <w:u w:val="single"/>
        </w:rPr>
        <w:t>T</w:t>
      </w:r>
      <w:r w:rsidR="00DB6045">
        <w:rPr>
          <w:rFonts w:ascii="Arial" w:eastAsia="Arial" w:hAnsi="Arial" w:cs="Arial"/>
          <w:b/>
          <w:bCs/>
          <w:u w:val="single"/>
        </w:rPr>
        <w:t>IONS (LQ)</w:t>
      </w:r>
    </w:p>
    <w:p w14:paraId="4BD5FA0E" w14:textId="77777777" w:rsidR="001C78D7" w:rsidRPr="00C24B4D" w:rsidRDefault="001C78D7" w:rsidP="001C78D7">
      <w:pPr>
        <w:jc w:val="both"/>
        <w:rPr>
          <w:rFonts w:ascii="Arial" w:hAnsi="Arial" w:cs="Arial"/>
        </w:rPr>
      </w:pPr>
    </w:p>
    <w:p w14:paraId="6AE6D435" w14:textId="77777777" w:rsidR="001C78D7" w:rsidRPr="00C24B4D" w:rsidRDefault="001C78D7" w:rsidP="001C78D7">
      <w:pPr>
        <w:pStyle w:val="PlainText"/>
        <w:rPr>
          <w:rFonts w:ascii="Arial" w:eastAsia="Arial" w:hAnsi="Arial" w:cs="Arial"/>
          <w:b/>
          <w:bCs/>
        </w:rPr>
      </w:pPr>
      <w:r w:rsidRPr="00C24B4D">
        <w:rPr>
          <w:rFonts w:ascii="Arial" w:eastAsia="Arial" w:hAnsi="Arial" w:cs="Arial"/>
          <w:b/>
          <w:bCs/>
        </w:rPr>
        <w:t xml:space="preserve">LQ1: OGA Notification in relation to uploading Financial Information to LARRY </w:t>
      </w:r>
    </w:p>
    <w:p w14:paraId="3467EF63" w14:textId="77777777" w:rsidR="001C78D7" w:rsidRPr="00C24B4D" w:rsidRDefault="001C78D7" w:rsidP="001C78D7">
      <w:pPr>
        <w:pStyle w:val="PlainText"/>
        <w:rPr>
          <w:rFonts w:ascii="Arial" w:hAnsi="Arial" w:cs="Arial"/>
        </w:rPr>
      </w:pPr>
    </w:p>
    <w:p w14:paraId="125785CE" w14:textId="77777777" w:rsidR="001C78D7" w:rsidRPr="00C24B4D" w:rsidRDefault="001C78D7" w:rsidP="001C78D7">
      <w:pPr>
        <w:rPr>
          <w:rFonts w:ascii="Arial" w:hAnsi="Arial" w:cs="Arial"/>
        </w:rPr>
      </w:pPr>
      <w:r w:rsidRPr="00C24B4D">
        <w:rPr>
          <w:rFonts w:ascii="Arial" w:eastAsia="Arial" w:hAnsi="Arial" w:cs="Arial"/>
        </w:rPr>
        <w:t xml:space="preserve">LA1: </w:t>
      </w:r>
      <w:r>
        <w:rPr>
          <w:rFonts w:ascii="Arial" w:eastAsia="Arial" w:hAnsi="Arial" w:cs="Arial"/>
        </w:rPr>
        <w:t>The new Financial Guidance for the 31</w:t>
      </w:r>
      <w:r w:rsidRPr="003A4551">
        <w:rPr>
          <w:rFonts w:ascii="Arial" w:eastAsia="Arial" w:hAnsi="Arial" w:cs="Arial"/>
          <w:vertAlign w:val="superscript"/>
        </w:rPr>
        <w:t>st</w:t>
      </w:r>
      <w:r>
        <w:rPr>
          <w:rFonts w:ascii="Arial" w:eastAsia="Arial" w:hAnsi="Arial" w:cs="Arial"/>
        </w:rPr>
        <w:t xml:space="preserve"> Round and this Supplementary Round was provided </w:t>
      </w:r>
      <w:r w:rsidR="002672F2">
        <w:rPr>
          <w:rFonts w:ascii="Arial" w:eastAsia="Arial" w:hAnsi="Arial" w:cs="Arial"/>
        </w:rPr>
        <w:t>at a later stage than expected</w:t>
      </w:r>
      <w:r>
        <w:rPr>
          <w:rFonts w:ascii="Arial" w:eastAsia="Arial" w:hAnsi="Arial" w:cs="Arial"/>
        </w:rPr>
        <w:t>.</w:t>
      </w:r>
      <w:bookmarkStart w:id="1" w:name="_Hlk528768764"/>
      <w:r>
        <w:rPr>
          <w:rFonts w:ascii="Arial" w:eastAsia="Arial" w:hAnsi="Arial" w:cs="Arial"/>
        </w:rPr>
        <w:t xml:space="preserve"> Unfortunately, </w:t>
      </w:r>
      <w:bookmarkEnd w:id="1"/>
      <w:r>
        <w:rPr>
          <w:rFonts w:ascii="Arial" w:eastAsia="Arial" w:hAnsi="Arial" w:cs="Arial"/>
        </w:rPr>
        <w:t xml:space="preserve">the result is that the </w:t>
      </w:r>
      <w:r w:rsidRPr="00C24B4D">
        <w:rPr>
          <w:rFonts w:ascii="Arial" w:hAnsi="Arial" w:cs="Arial"/>
        </w:rPr>
        <w:t xml:space="preserve">LARRY Guidance </w:t>
      </w:r>
      <w:r>
        <w:rPr>
          <w:rFonts w:ascii="Arial" w:hAnsi="Arial" w:cs="Arial"/>
        </w:rPr>
        <w:t xml:space="preserve">has not been updated </w:t>
      </w:r>
      <w:r w:rsidRPr="00C24B4D">
        <w:rPr>
          <w:rFonts w:ascii="Arial" w:hAnsi="Arial" w:cs="Arial"/>
        </w:rPr>
        <w:t xml:space="preserve">in relation to the loading of up </w:t>
      </w:r>
      <w:r>
        <w:rPr>
          <w:rFonts w:ascii="Arial" w:hAnsi="Arial" w:cs="Arial"/>
        </w:rPr>
        <w:t xml:space="preserve">of the </w:t>
      </w:r>
      <w:r w:rsidRPr="00C24B4D">
        <w:rPr>
          <w:rFonts w:ascii="Arial" w:hAnsi="Arial" w:cs="Arial"/>
        </w:rPr>
        <w:t>Financial Information</w:t>
      </w:r>
      <w:r>
        <w:rPr>
          <w:rFonts w:ascii="Arial" w:hAnsi="Arial" w:cs="Arial"/>
        </w:rPr>
        <w:t xml:space="preserve"> required</w:t>
      </w:r>
      <w:r w:rsidRPr="00C24B4D">
        <w:rPr>
          <w:rFonts w:ascii="Arial" w:hAnsi="Arial" w:cs="Arial"/>
        </w:rPr>
        <w:t xml:space="preserve"> (e.g. information required for a Phase A/B only application).</w:t>
      </w:r>
    </w:p>
    <w:p w14:paraId="42B4E556" w14:textId="77777777" w:rsidR="001C78D7" w:rsidRPr="00C24B4D" w:rsidRDefault="001C78D7" w:rsidP="001C78D7">
      <w:pPr>
        <w:rPr>
          <w:rFonts w:ascii="Arial" w:hAnsi="Arial" w:cs="Arial"/>
        </w:rPr>
      </w:pPr>
    </w:p>
    <w:p w14:paraId="30CEE23E" w14:textId="77777777" w:rsidR="001C78D7" w:rsidRPr="00C24B4D" w:rsidRDefault="001C78D7" w:rsidP="001C78D7">
      <w:pPr>
        <w:rPr>
          <w:rFonts w:ascii="Arial" w:hAnsi="Arial" w:cs="Arial"/>
        </w:rPr>
      </w:pPr>
      <w:r w:rsidRPr="00C24B4D">
        <w:rPr>
          <w:rFonts w:ascii="Arial" w:hAnsi="Arial" w:cs="Arial"/>
        </w:rPr>
        <w:t>Applicants should upload all the financial information as required in the information matrix at the end of OGA’s new published financial guidance here:</w:t>
      </w:r>
      <w:r w:rsidRPr="00C24B4D">
        <w:t xml:space="preserve"> </w:t>
      </w:r>
      <w:hyperlink r:id="rId13" w:history="1">
        <w:r w:rsidRPr="00C24B4D">
          <w:rPr>
            <w:rStyle w:val="Hyperlink"/>
            <w:rFonts w:ascii="Arial" w:hAnsi="Arial" w:cs="Arial"/>
          </w:rPr>
          <w:t>https://www.ogauthority.co.uk/media/5003/financial-guidance-august-2018.pdf</w:t>
        </w:r>
      </w:hyperlink>
    </w:p>
    <w:p w14:paraId="0BCA41BD" w14:textId="77777777" w:rsidR="001C78D7" w:rsidRPr="00C24B4D" w:rsidRDefault="001C78D7" w:rsidP="001C78D7">
      <w:pPr>
        <w:rPr>
          <w:rFonts w:ascii="Arial" w:hAnsi="Arial" w:cs="Arial"/>
        </w:rPr>
      </w:pPr>
    </w:p>
    <w:p w14:paraId="6948A1A3" w14:textId="77777777" w:rsidR="001C78D7" w:rsidRPr="00C24B4D" w:rsidRDefault="001C78D7" w:rsidP="001C78D7">
      <w:pPr>
        <w:jc w:val="both"/>
        <w:rPr>
          <w:rFonts w:ascii="Arial" w:hAnsi="Arial" w:cs="Arial"/>
        </w:rPr>
      </w:pPr>
    </w:p>
    <w:p w14:paraId="226DC9FA" w14:textId="77777777" w:rsidR="001C78D7" w:rsidRPr="00C24B4D" w:rsidRDefault="001C78D7" w:rsidP="001C78D7">
      <w:pPr>
        <w:pStyle w:val="PlainText"/>
        <w:rPr>
          <w:rFonts w:ascii="Arial" w:eastAsia="Arial" w:hAnsi="Arial" w:cs="Arial"/>
          <w:b/>
          <w:bCs/>
        </w:rPr>
      </w:pPr>
      <w:r w:rsidRPr="00C24B4D">
        <w:rPr>
          <w:rFonts w:ascii="Arial" w:eastAsia="Arial" w:hAnsi="Arial" w:cs="Arial"/>
          <w:b/>
          <w:bCs/>
        </w:rPr>
        <w:lastRenderedPageBreak/>
        <w:t xml:space="preserve">LQ2: What about filling out the screen on Financial Information in the LARRY system </w:t>
      </w:r>
    </w:p>
    <w:p w14:paraId="68EA348A" w14:textId="77777777" w:rsidR="00DB6045" w:rsidRDefault="00DB6045" w:rsidP="001C78D7">
      <w:pPr>
        <w:jc w:val="both"/>
        <w:rPr>
          <w:rFonts w:ascii="Arial" w:hAnsi="Arial" w:cs="Arial"/>
        </w:rPr>
      </w:pPr>
    </w:p>
    <w:p w14:paraId="7BEE7F3A" w14:textId="77777777" w:rsidR="001C78D7" w:rsidRPr="00C24B4D" w:rsidRDefault="00DB6045" w:rsidP="001C78D7">
      <w:pPr>
        <w:jc w:val="both"/>
        <w:rPr>
          <w:rFonts w:ascii="Arial" w:hAnsi="Arial" w:cs="Arial"/>
        </w:rPr>
      </w:pPr>
      <w:r>
        <w:rPr>
          <w:rFonts w:ascii="Arial" w:hAnsi="Arial" w:cs="Arial"/>
        </w:rPr>
        <w:t xml:space="preserve">L2: </w:t>
      </w:r>
      <w:r w:rsidR="001C78D7">
        <w:rPr>
          <w:rFonts w:ascii="Arial" w:hAnsi="Arial" w:cs="Arial"/>
        </w:rPr>
        <w:t>T</w:t>
      </w:r>
      <w:r w:rsidR="001C78D7" w:rsidRPr="00C24B4D">
        <w:rPr>
          <w:rFonts w:ascii="Arial" w:hAnsi="Arial" w:cs="Arial"/>
        </w:rPr>
        <w:t xml:space="preserve">he LARRY application </w:t>
      </w:r>
      <w:r>
        <w:rPr>
          <w:rFonts w:ascii="Arial" w:hAnsi="Arial" w:cs="Arial"/>
        </w:rPr>
        <w:t xml:space="preserve">has not yet been </w:t>
      </w:r>
      <w:r w:rsidR="001C78D7">
        <w:rPr>
          <w:rFonts w:ascii="Arial" w:hAnsi="Arial" w:cs="Arial"/>
        </w:rPr>
        <w:t xml:space="preserve">updated, therefore the financial information page on LARRY is also out of date </w:t>
      </w:r>
      <w:r w:rsidR="001C78D7" w:rsidRPr="00C24B4D">
        <w:rPr>
          <w:rFonts w:ascii="Arial" w:hAnsi="Arial" w:cs="Arial"/>
        </w:rPr>
        <w:t>(e.g. information required for a Phase A/B only application).</w:t>
      </w:r>
    </w:p>
    <w:p w14:paraId="0793BFE5" w14:textId="77777777" w:rsidR="001C78D7" w:rsidRPr="00C24B4D" w:rsidRDefault="001C78D7" w:rsidP="001C78D7">
      <w:pPr>
        <w:rPr>
          <w:rFonts w:ascii="Arial" w:hAnsi="Arial" w:cs="Arial"/>
        </w:rPr>
      </w:pPr>
    </w:p>
    <w:p w14:paraId="4A35765A" w14:textId="77777777" w:rsidR="001C78D7" w:rsidRPr="00C24B4D" w:rsidRDefault="001C78D7" w:rsidP="001C78D7">
      <w:pPr>
        <w:rPr>
          <w:rFonts w:ascii="Arial" w:hAnsi="Arial" w:cs="Arial"/>
        </w:rPr>
      </w:pPr>
      <w:r w:rsidRPr="00C24B4D">
        <w:rPr>
          <w:rFonts w:ascii="Arial" w:hAnsi="Arial" w:cs="Arial"/>
        </w:rPr>
        <w:t>For the 31</w:t>
      </w:r>
      <w:r w:rsidRPr="00C24B4D">
        <w:rPr>
          <w:rFonts w:ascii="Arial" w:hAnsi="Arial" w:cs="Arial"/>
          <w:vertAlign w:val="superscript"/>
        </w:rPr>
        <w:t>st</w:t>
      </w:r>
      <w:r w:rsidRPr="00C24B4D">
        <w:rPr>
          <w:rFonts w:ascii="Arial" w:hAnsi="Arial" w:cs="Arial"/>
        </w:rPr>
        <w:t xml:space="preserve"> </w:t>
      </w:r>
      <w:r>
        <w:rPr>
          <w:rFonts w:ascii="Arial" w:hAnsi="Arial" w:cs="Arial"/>
        </w:rPr>
        <w:t xml:space="preserve">Supplementary </w:t>
      </w:r>
      <w:r w:rsidRPr="00C24B4D">
        <w:rPr>
          <w:rFonts w:ascii="Arial" w:hAnsi="Arial" w:cs="Arial"/>
        </w:rPr>
        <w:t xml:space="preserve">Round where information is not required </w:t>
      </w:r>
      <w:r>
        <w:rPr>
          <w:rFonts w:ascii="Arial" w:hAnsi="Arial" w:cs="Arial"/>
        </w:rPr>
        <w:t xml:space="preserve">please enter </w:t>
      </w:r>
      <w:r w:rsidRPr="00C24B4D">
        <w:rPr>
          <w:rFonts w:ascii="Arial" w:hAnsi="Arial" w:cs="Arial"/>
        </w:rPr>
        <w:t>a Zero to allow the application to be submitted.</w:t>
      </w:r>
    </w:p>
    <w:p w14:paraId="000A4373" w14:textId="77777777" w:rsidR="001C78D7" w:rsidRPr="00C24B4D" w:rsidRDefault="001C78D7" w:rsidP="001C78D7">
      <w:pPr>
        <w:rPr>
          <w:rFonts w:ascii="Arial" w:hAnsi="Arial" w:cs="Arial"/>
        </w:rPr>
      </w:pPr>
    </w:p>
    <w:p w14:paraId="24CA43B5" w14:textId="77777777" w:rsidR="001C78D7" w:rsidRDefault="001C78D7" w:rsidP="00EA2340">
      <w:pPr>
        <w:jc w:val="both"/>
        <w:rPr>
          <w:rFonts w:ascii="Arial" w:hAnsi="Arial" w:cs="Arial"/>
          <w:sz w:val="22"/>
          <w:szCs w:val="22"/>
        </w:rPr>
      </w:pPr>
    </w:p>
    <w:p w14:paraId="7E9441AE" w14:textId="77777777" w:rsidR="001C78D7" w:rsidRDefault="001C78D7" w:rsidP="00EA2340">
      <w:pPr>
        <w:jc w:val="both"/>
        <w:rPr>
          <w:rFonts w:ascii="Arial" w:hAnsi="Arial" w:cs="Arial"/>
          <w:sz w:val="22"/>
          <w:szCs w:val="22"/>
        </w:rPr>
      </w:pPr>
    </w:p>
    <w:p w14:paraId="18A8B044" w14:textId="77777777" w:rsidR="001C78D7" w:rsidRPr="00732F7D" w:rsidRDefault="001C78D7" w:rsidP="001C78D7">
      <w:pPr>
        <w:pBdr>
          <w:top w:val="single" w:sz="4" w:space="1" w:color="auto"/>
          <w:left w:val="single" w:sz="4" w:space="4" w:color="auto"/>
          <w:bottom w:val="single" w:sz="4" w:space="1" w:color="auto"/>
          <w:right w:val="single" w:sz="4" w:space="4" w:color="auto"/>
        </w:pBdr>
        <w:jc w:val="both"/>
        <w:rPr>
          <w:rFonts w:ascii="Arial" w:eastAsia="Arial" w:hAnsi="Arial" w:cs="Arial"/>
          <w:b/>
          <w:bCs/>
          <w:color w:val="0070C0"/>
        </w:rPr>
      </w:pPr>
      <w:r w:rsidRPr="00732F7D">
        <w:rPr>
          <w:rFonts w:ascii="Arial" w:eastAsia="Arial" w:hAnsi="Arial" w:cs="Arial"/>
          <w:b/>
          <w:bCs/>
          <w:color w:val="0070C0"/>
        </w:rPr>
        <w:t xml:space="preserve">NOTE that Policy questions 1 to 24 below have been retained from previous Rounds but </w:t>
      </w:r>
      <w:r w:rsidR="00DB6045" w:rsidRPr="00732F7D">
        <w:rPr>
          <w:rFonts w:ascii="Arial" w:eastAsia="Arial" w:hAnsi="Arial" w:cs="Arial"/>
          <w:b/>
          <w:bCs/>
          <w:color w:val="0070C0"/>
        </w:rPr>
        <w:t>are still considered useful for this Supplementary Round</w:t>
      </w:r>
      <w:r w:rsidRPr="00732F7D">
        <w:rPr>
          <w:rFonts w:ascii="Arial" w:eastAsia="Arial" w:hAnsi="Arial" w:cs="Arial"/>
          <w:b/>
          <w:bCs/>
          <w:color w:val="0070C0"/>
        </w:rPr>
        <w:t xml:space="preserve">. </w:t>
      </w:r>
    </w:p>
    <w:p w14:paraId="1A7EE484" w14:textId="77777777" w:rsidR="001C78D7" w:rsidRPr="00732F7D" w:rsidRDefault="001C78D7" w:rsidP="001C78D7">
      <w:pPr>
        <w:pBdr>
          <w:top w:val="single" w:sz="4" w:space="1" w:color="auto"/>
          <w:left w:val="single" w:sz="4" w:space="4" w:color="auto"/>
          <w:bottom w:val="single" w:sz="4" w:space="1" w:color="auto"/>
          <w:right w:val="single" w:sz="4" w:space="4" w:color="auto"/>
        </w:pBdr>
        <w:jc w:val="both"/>
        <w:rPr>
          <w:rFonts w:ascii="Arial" w:hAnsi="Arial" w:cs="Arial"/>
        </w:rPr>
      </w:pPr>
    </w:p>
    <w:p w14:paraId="11115E31" w14:textId="77777777" w:rsidR="001C78D7" w:rsidRPr="00732F7D" w:rsidRDefault="001C78D7" w:rsidP="00EA2340">
      <w:pPr>
        <w:jc w:val="both"/>
        <w:rPr>
          <w:rFonts w:ascii="Arial" w:hAnsi="Arial" w:cs="Arial"/>
        </w:rPr>
      </w:pPr>
    </w:p>
    <w:p w14:paraId="62574727" w14:textId="77777777" w:rsidR="00B510B3" w:rsidRPr="00732F7D" w:rsidRDefault="00DB1D33" w:rsidP="006A0C95">
      <w:pPr>
        <w:pStyle w:val="NormalWeb"/>
        <w:spacing w:before="200" w:after="0" w:line="216" w:lineRule="auto"/>
        <w:rPr>
          <w:rFonts w:ascii="Arial" w:eastAsia="Arial" w:hAnsi="Arial" w:cs="Arial"/>
          <w:b/>
          <w:bCs/>
          <w:color w:val="0070C0"/>
        </w:rPr>
      </w:pPr>
      <w:r w:rsidRPr="00732F7D">
        <w:rPr>
          <w:rFonts w:ascii="Arial" w:eastAsia="Arial" w:hAnsi="Arial" w:cs="Arial"/>
          <w:b/>
          <w:bCs/>
          <w:color w:val="0070C0"/>
          <w:kern w:val="24"/>
        </w:rPr>
        <w:t>P</w:t>
      </w:r>
      <w:r w:rsidR="00E518A8" w:rsidRPr="00732F7D">
        <w:rPr>
          <w:rFonts w:ascii="Arial" w:eastAsia="Arial" w:hAnsi="Arial" w:cs="Arial"/>
          <w:b/>
          <w:bCs/>
          <w:color w:val="0070C0"/>
          <w:kern w:val="24"/>
        </w:rPr>
        <w:t>Q</w:t>
      </w:r>
      <w:r w:rsidR="00840415" w:rsidRPr="00732F7D">
        <w:rPr>
          <w:rFonts w:ascii="Arial" w:eastAsia="Arial" w:hAnsi="Arial" w:cs="Arial"/>
          <w:b/>
          <w:bCs/>
          <w:color w:val="0070C0"/>
          <w:kern w:val="24"/>
        </w:rPr>
        <w:t>1</w:t>
      </w:r>
      <w:r w:rsidR="00B510B3" w:rsidRPr="00732F7D">
        <w:rPr>
          <w:rFonts w:ascii="Arial" w:eastAsia="Arial" w:hAnsi="Arial" w:cs="Arial"/>
          <w:b/>
          <w:bCs/>
          <w:color w:val="0070C0"/>
          <w:kern w:val="24"/>
        </w:rPr>
        <w:t xml:space="preserve">.  How does the phase approach work for a single application multi-block </w:t>
      </w:r>
      <w:proofErr w:type="gramStart"/>
      <w:r w:rsidR="00B510B3" w:rsidRPr="00732F7D">
        <w:rPr>
          <w:rFonts w:ascii="Arial" w:eastAsia="Arial" w:hAnsi="Arial" w:cs="Arial"/>
          <w:b/>
          <w:bCs/>
          <w:color w:val="0070C0"/>
          <w:kern w:val="24"/>
        </w:rPr>
        <w:t>bid.</w:t>
      </w:r>
      <w:proofErr w:type="gramEnd"/>
      <w:r w:rsidR="00B510B3" w:rsidRPr="00732F7D">
        <w:rPr>
          <w:rFonts w:ascii="Arial" w:eastAsia="Arial" w:hAnsi="Arial" w:cs="Arial"/>
          <w:b/>
          <w:bCs/>
          <w:color w:val="0070C0"/>
          <w:kern w:val="24"/>
        </w:rPr>
        <w:t xml:space="preserve"> Does each block within the application require its own phase timing or does the phase timing relate to the single </w:t>
      </w:r>
      <w:proofErr w:type="gramStart"/>
      <w:r w:rsidR="00B510B3" w:rsidRPr="00732F7D">
        <w:rPr>
          <w:rFonts w:ascii="Arial" w:eastAsia="Arial" w:hAnsi="Arial" w:cs="Arial"/>
          <w:b/>
          <w:bCs/>
          <w:color w:val="0070C0"/>
          <w:kern w:val="24"/>
        </w:rPr>
        <w:t>application.</w:t>
      </w:r>
      <w:proofErr w:type="gramEnd"/>
      <w:r w:rsidR="00B510B3" w:rsidRPr="00732F7D">
        <w:rPr>
          <w:rFonts w:ascii="Arial" w:eastAsia="Arial" w:hAnsi="Arial" w:cs="Arial"/>
          <w:b/>
          <w:bCs/>
          <w:color w:val="0070C0"/>
          <w:kern w:val="24"/>
        </w:rPr>
        <w:t xml:space="preserve"> Can individual blocks have a longer or shorter phase than others, within the same bid. Or do all blocks in a multi-block bid require the same phase timings?</w:t>
      </w:r>
    </w:p>
    <w:p w14:paraId="49519CB4" w14:textId="77777777" w:rsidR="00B510B3" w:rsidRPr="00732F7D" w:rsidRDefault="00B510B3" w:rsidP="006A0C95">
      <w:pPr>
        <w:pStyle w:val="NormalWeb"/>
        <w:spacing w:before="200" w:after="0" w:line="216" w:lineRule="auto"/>
        <w:rPr>
          <w:rFonts w:ascii="Arial" w:eastAsia="Arial" w:hAnsi="Arial" w:cs="Arial"/>
          <w:b/>
          <w:bCs/>
          <w:color w:val="0070C0"/>
        </w:rPr>
      </w:pPr>
      <w:r w:rsidRPr="00732F7D">
        <w:rPr>
          <w:rFonts w:ascii="Arial" w:eastAsia="Arial" w:hAnsi="Arial" w:cs="Arial"/>
          <w:b/>
          <w:bCs/>
          <w:color w:val="0070C0"/>
          <w:kern w:val="24"/>
        </w:rPr>
        <w:t xml:space="preserve">For example, if you have a single application which includes 5 blocks, can you have a single Phasing structure which might include Geotechnical Phase A for all blocks but only 2 Phase C drill or drop wells. Or </w:t>
      </w:r>
      <w:proofErr w:type="gramStart"/>
      <w:r w:rsidRPr="00732F7D">
        <w:rPr>
          <w:rFonts w:ascii="Arial" w:eastAsia="Arial" w:hAnsi="Arial" w:cs="Arial"/>
          <w:b/>
          <w:bCs/>
          <w:color w:val="0070C0"/>
          <w:kern w:val="24"/>
        </w:rPr>
        <w:t>does</w:t>
      </w:r>
      <w:proofErr w:type="gramEnd"/>
      <w:r w:rsidRPr="00732F7D">
        <w:rPr>
          <w:rFonts w:ascii="Arial" w:eastAsia="Arial" w:hAnsi="Arial" w:cs="Arial"/>
          <w:b/>
          <w:bCs/>
          <w:color w:val="0070C0"/>
          <w:kern w:val="24"/>
        </w:rPr>
        <w:t xml:space="preserve"> every one of the 5 blocks need to have its own Phase A and Phase C and can the timing for each block be slightly different?</w:t>
      </w:r>
    </w:p>
    <w:p w14:paraId="5AF570B1" w14:textId="77777777" w:rsidR="00B510B3" w:rsidRPr="00732F7D" w:rsidRDefault="00B510B3" w:rsidP="006A0C95">
      <w:pPr>
        <w:pStyle w:val="NormalWeb"/>
        <w:spacing w:before="200" w:after="0" w:line="216" w:lineRule="auto"/>
        <w:rPr>
          <w:rFonts w:ascii="Arial" w:eastAsia="Arial" w:hAnsi="Arial" w:cs="Arial"/>
          <w:b/>
          <w:bCs/>
          <w:color w:val="0070C0"/>
        </w:rPr>
      </w:pPr>
      <w:r w:rsidRPr="00732F7D">
        <w:rPr>
          <w:rFonts w:ascii="Arial" w:eastAsia="Arial" w:hAnsi="Arial" w:cs="Arial"/>
          <w:b/>
          <w:bCs/>
          <w:color w:val="0070C0"/>
          <w:kern w:val="24"/>
        </w:rPr>
        <w:t>Our understanding is that the blocks will be input and scored separately in the LARRY system even though they are part of a single application, is this correct and how does this relate to a joint work programme and scoring.</w:t>
      </w:r>
    </w:p>
    <w:p w14:paraId="14F12533" w14:textId="77777777" w:rsidR="00B510B3" w:rsidRPr="00732F7D" w:rsidRDefault="00D02D9F" w:rsidP="006A0C95">
      <w:pPr>
        <w:pStyle w:val="NormalWeb"/>
        <w:spacing w:before="200" w:after="0" w:line="216" w:lineRule="auto"/>
        <w:rPr>
          <w:rFonts w:ascii="Arial" w:eastAsia="Arial" w:hAnsi="Arial" w:cs="Arial"/>
          <w:color w:val="0070C0"/>
        </w:rPr>
      </w:pPr>
      <w:r w:rsidRPr="00732F7D">
        <w:rPr>
          <w:rFonts w:ascii="Arial" w:eastAsia="Arial" w:hAnsi="Arial" w:cs="Arial"/>
          <w:b/>
          <w:bCs/>
          <w:color w:val="0070C0"/>
          <w:kern w:val="24"/>
        </w:rPr>
        <w:t>P</w:t>
      </w:r>
      <w:r w:rsidR="00B510B3" w:rsidRPr="00732F7D">
        <w:rPr>
          <w:rFonts w:ascii="Arial" w:eastAsia="Arial" w:hAnsi="Arial" w:cs="Arial"/>
          <w:b/>
          <w:bCs/>
          <w:color w:val="0070C0"/>
          <w:kern w:val="24"/>
        </w:rPr>
        <w:t>A</w:t>
      </w:r>
      <w:r w:rsidR="00840415" w:rsidRPr="00732F7D">
        <w:rPr>
          <w:rFonts w:ascii="Arial" w:eastAsia="Arial" w:hAnsi="Arial" w:cs="Arial"/>
          <w:b/>
          <w:bCs/>
          <w:color w:val="0070C0"/>
          <w:kern w:val="24"/>
        </w:rPr>
        <w:t>1</w:t>
      </w:r>
      <w:r w:rsidR="00B510B3" w:rsidRPr="00732F7D">
        <w:rPr>
          <w:rFonts w:ascii="Arial," w:eastAsia="Arial," w:hAnsi="Arial," w:cs="Arial,"/>
          <w:b/>
          <w:bCs/>
          <w:color w:val="0070C0"/>
          <w:kern w:val="24"/>
        </w:rPr>
        <w:t xml:space="preserve">: </w:t>
      </w:r>
      <w:r w:rsidR="00B510B3" w:rsidRPr="00732F7D">
        <w:rPr>
          <w:rFonts w:ascii="Arial" w:eastAsia="Arial" w:hAnsi="Arial" w:cs="Arial"/>
          <w:color w:val="0070C0"/>
          <w:kern w:val="24"/>
        </w:rPr>
        <w:t xml:space="preserve">A single Application can contain </w:t>
      </w:r>
      <w:proofErr w:type="gramStart"/>
      <w:r w:rsidR="00B510B3" w:rsidRPr="00732F7D">
        <w:rPr>
          <w:rFonts w:ascii="Arial" w:eastAsia="Arial" w:hAnsi="Arial" w:cs="Arial"/>
          <w:color w:val="0070C0"/>
          <w:kern w:val="24"/>
        </w:rPr>
        <w:t>a number of</w:t>
      </w:r>
      <w:proofErr w:type="gramEnd"/>
      <w:r w:rsidR="00B510B3" w:rsidRPr="00732F7D">
        <w:rPr>
          <w:rFonts w:ascii="Arial" w:eastAsia="Arial" w:hAnsi="Arial" w:cs="Arial"/>
          <w:color w:val="0070C0"/>
          <w:kern w:val="24"/>
        </w:rPr>
        <w:t xml:space="preserve"> different Blocks, either</w:t>
      </w:r>
    </w:p>
    <w:p w14:paraId="022CC26A" w14:textId="77777777" w:rsidR="00B510B3" w:rsidRPr="00732F7D" w:rsidRDefault="00B510B3" w:rsidP="006A0C95">
      <w:pPr>
        <w:pStyle w:val="ListParagraph"/>
        <w:numPr>
          <w:ilvl w:val="0"/>
          <w:numId w:val="13"/>
        </w:numPr>
        <w:spacing w:line="216" w:lineRule="auto"/>
        <w:contextualSpacing/>
        <w:rPr>
          <w:rFonts w:ascii="Arial" w:eastAsia="Arial" w:hAnsi="Arial" w:cs="Arial"/>
          <w:color w:val="0070C0"/>
        </w:rPr>
      </w:pPr>
      <w:r w:rsidRPr="00732F7D">
        <w:rPr>
          <w:rFonts w:ascii="Arial" w:eastAsia="Arial" w:hAnsi="Arial" w:cs="Arial"/>
          <w:color w:val="0070C0"/>
          <w:kern w:val="24"/>
        </w:rPr>
        <w:t xml:space="preserve">in the same Area which the Applicant might want us to consider offering as a single Licence, or </w:t>
      </w:r>
    </w:p>
    <w:p w14:paraId="0A2B086B" w14:textId="77777777" w:rsidR="00B510B3" w:rsidRPr="00732F7D" w:rsidRDefault="00B510B3" w:rsidP="006A0C95">
      <w:pPr>
        <w:pStyle w:val="ListParagraph"/>
        <w:numPr>
          <w:ilvl w:val="0"/>
          <w:numId w:val="13"/>
        </w:numPr>
        <w:spacing w:line="216" w:lineRule="auto"/>
        <w:contextualSpacing/>
        <w:rPr>
          <w:rFonts w:ascii="Arial" w:eastAsia="Arial" w:hAnsi="Arial" w:cs="Arial"/>
          <w:color w:val="0070C0"/>
        </w:rPr>
      </w:pPr>
      <w:r w:rsidRPr="00732F7D">
        <w:rPr>
          <w:rFonts w:ascii="Arial" w:eastAsia="Arial" w:hAnsi="Arial" w:cs="Arial"/>
          <w:color w:val="0070C0"/>
          <w:kern w:val="24"/>
        </w:rPr>
        <w:t xml:space="preserve">in the same Area but which might potentially result in </w:t>
      </w:r>
      <w:proofErr w:type="gramStart"/>
      <w:r w:rsidRPr="00732F7D">
        <w:rPr>
          <w:rFonts w:ascii="Arial" w:eastAsia="Arial" w:hAnsi="Arial" w:cs="Arial"/>
          <w:color w:val="0070C0"/>
          <w:kern w:val="24"/>
        </w:rPr>
        <w:t>a number of</w:t>
      </w:r>
      <w:proofErr w:type="gramEnd"/>
      <w:r w:rsidRPr="00732F7D">
        <w:rPr>
          <w:rFonts w:ascii="Arial" w:eastAsia="Arial" w:hAnsi="Arial" w:cs="Arial"/>
          <w:color w:val="0070C0"/>
          <w:kern w:val="24"/>
        </w:rPr>
        <w:t xml:space="preserve"> Licences, or </w:t>
      </w:r>
    </w:p>
    <w:p w14:paraId="2FEEB549" w14:textId="77777777" w:rsidR="00B510B3" w:rsidRPr="00732F7D" w:rsidRDefault="00B510B3" w:rsidP="006A0C95">
      <w:pPr>
        <w:pStyle w:val="ListParagraph"/>
        <w:numPr>
          <w:ilvl w:val="0"/>
          <w:numId w:val="13"/>
        </w:numPr>
        <w:spacing w:line="216" w:lineRule="auto"/>
        <w:contextualSpacing/>
        <w:rPr>
          <w:rFonts w:ascii="Arial" w:eastAsia="Arial" w:hAnsi="Arial" w:cs="Arial"/>
          <w:color w:val="0070C0"/>
        </w:rPr>
      </w:pPr>
      <w:r w:rsidRPr="00732F7D">
        <w:rPr>
          <w:rFonts w:ascii="Arial" w:eastAsia="Arial" w:hAnsi="Arial" w:cs="Arial"/>
          <w:color w:val="0070C0"/>
          <w:kern w:val="24"/>
        </w:rPr>
        <w:t xml:space="preserve">in several different Areas which would result in </w:t>
      </w:r>
      <w:proofErr w:type="gramStart"/>
      <w:r w:rsidRPr="00732F7D">
        <w:rPr>
          <w:rFonts w:ascii="Arial" w:eastAsia="Arial" w:hAnsi="Arial" w:cs="Arial"/>
          <w:color w:val="0070C0"/>
          <w:kern w:val="24"/>
        </w:rPr>
        <w:t>a number of</w:t>
      </w:r>
      <w:proofErr w:type="gramEnd"/>
      <w:r w:rsidRPr="00732F7D">
        <w:rPr>
          <w:rFonts w:ascii="Arial" w:eastAsia="Arial" w:hAnsi="Arial" w:cs="Arial"/>
          <w:color w:val="0070C0"/>
          <w:kern w:val="24"/>
        </w:rPr>
        <w:t xml:space="preserve"> separate Licences.</w:t>
      </w:r>
    </w:p>
    <w:p w14:paraId="73AD75C4" w14:textId="77777777" w:rsidR="00B510B3" w:rsidRPr="00732F7D" w:rsidRDefault="00B510B3" w:rsidP="006A0C95">
      <w:pPr>
        <w:pStyle w:val="NormalWeb"/>
        <w:spacing w:before="200" w:after="0" w:line="216" w:lineRule="auto"/>
        <w:rPr>
          <w:rFonts w:ascii="Arial" w:eastAsia="Arial" w:hAnsi="Arial" w:cs="Arial"/>
          <w:color w:val="0070C0"/>
        </w:rPr>
      </w:pPr>
      <w:r w:rsidRPr="00732F7D">
        <w:rPr>
          <w:rFonts w:ascii="Arial" w:eastAsia="Arial" w:hAnsi="Arial" w:cs="Arial"/>
          <w:color w:val="0070C0"/>
          <w:kern w:val="24"/>
        </w:rPr>
        <w:t>Each Licence can contain up to 10 blocks in total (whole blocks or part-blocks), and blocks must be contiguous within the licence (corner connections are invalid).</w:t>
      </w:r>
    </w:p>
    <w:p w14:paraId="608BE35D" w14:textId="77777777" w:rsidR="00B510B3" w:rsidRPr="00732F7D" w:rsidRDefault="00B510B3" w:rsidP="006A0C95">
      <w:pPr>
        <w:pStyle w:val="NormalWeb"/>
        <w:spacing w:before="200" w:after="0" w:line="216" w:lineRule="auto"/>
        <w:rPr>
          <w:rFonts w:ascii="Arial" w:eastAsia="Arial" w:hAnsi="Arial" w:cs="Arial"/>
          <w:color w:val="0070C0"/>
        </w:rPr>
      </w:pPr>
      <w:r w:rsidRPr="00732F7D">
        <w:rPr>
          <w:rFonts w:ascii="Arial" w:eastAsia="Arial" w:hAnsi="Arial" w:cs="Arial"/>
          <w:color w:val="0070C0"/>
          <w:kern w:val="24"/>
        </w:rPr>
        <w:t xml:space="preserve">Each Licence must have its own work programme, and this is what the phase timing should relate to.  In other words, </w:t>
      </w:r>
      <w:r w:rsidRPr="00732F7D">
        <w:rPr>
          <w:rFonts w:ascii="Arial" w:eastAsia="Arial" w:hAnsi="Arial" w:cs="Arial"/>
          <w:b/>
          <w:bCs/>
          <w:i/>
          <w:iCs/>
          <w:color w:val="0070C0"/>
          <w:kern w:val="24"/>
        </w:rPr>
        <w:t>all blocks within a single potential licence must have the same phasing</w:t>
      </w:r>
      <w:r w:rsidRPr="00732F7D">
        <w:rPr>
          <w:rFonts w:ascii="Arial" w:eastAsia="Arial" w:hAnsi="Arial" w:cs="Arial"/>
          <w:color w:val="0070C0"/>
          <w:kern w:val="24"/>
        </w:rPr>
        <w:t>.  If there are contiguous blocks that require fundamentally different work programmes, and hence phasing, it is preferable for these to be defined as separate licences.  However, if the work required on each block only differs slightly, the applicant should consider the optimal phasing that can accommodate this work.</w:t>
      </w:r>
    </w:p>
    <w:p w14:paraId="719E5274" w14:textId="77777777" w:rsidR="00B510B3" w:rsidRPr="00732F7D" w:rsidRDefault="00B510B3" w:rsidP="006A0C95">
      <w:pPr>
        <w:pStyle w:val="NormalWeb"/>
        <w:spacing w:before="200" w:after="0" w:line="216" w:lineRule="auto"/>
        <w:rPr>
          <w:rFonts w:ascii="Arial" w:eastAsia="Arial" w:hAnsi="Arial" w:cs="Arial"/>
          <w:color w:val="0070C0"/>
        </w:rPr>
      </w:pPr>
      <w:r w:rsidRPr="00732F7D">
        <w:rPr>
          <w:rFonts w:ascii="Arial" w:eastAsia="Arial" w:hAnsi="Arial" w:cs="Arial"/>
          <w:color w:val="0070C0"/>
          <w:kern w:val="24"/>
        </w:rPr>
        <w:t>Potential Licences that have the same Start Phase Type can be submitted within a single application, even if they are geographically separate.</w:t>
      </w:r>
    </w:p>
    <w:p w14:paraId="61CE2D04" w14:textId="77777777" w:rsidR="00B510B3" w:rsidRPr="00732F7D" w:rsidRDefault="00B510B3" w:rsidP="006A0C95">
      <w:pPr>
        <w:pStyle w:val="NormalWeb"/>
        <w:spacing w:before="200" w:after="0" w:line="216" w:lineRule="auto"/>
        <w:rPr>
          <w:rFonts w:ascii="Arial," w:eastAsia="Arial," w:hAnsi="Arial," w:cs="Arial,"/>
          <w:color w:val="0070C0"/>
          <w:kern w:val="24"/>
        </w:rPr>
      </w:pPr>
      <w:r w:rsidRPr="00732F7D">
        <w:rPr>
          <w:rFonts w:ascii="Arial" w:eastAsia="Arial" w:hAnsi="Arial" w:cs="Arial"/>
          <w:color w:val="0070C0"/>
          <w:kern w:val="24"/>
        </w:rPr>
        <w:lastRenderedPageBreak/>
        <w:t xml:space="preserve">Note that </w:t>
      </w:r>
      <w:r w:rsidRPr="00732F7D">
        <w:rPr>
          <w:rFonts w:ascii="Arial" w:eastAsia="Arial" w:hAnsi="Arial" w:cs="Arial"/>
          <w:i/>
          <w:iCs/>
          <w:color w:val="0070C0"/>
          <w:kern w:val="24"/>
        </w:rPr>
        <w:t>some elements</w:t>
      </w:r>
      <w:r w:rsidRPr="00732F7D">
        <w:rPr>
          <w:rFonts w:ascii="Arial" w:eastAsia="Arial" w:hAnsi="Arial" w:cs="Arial"/>
          <w:color w:val="0070C0"/>
          <w:kern w:val="24"/>
        </w:rPr>
        <w:t xml:space="preserve"> of the published Marks Scheme relate to block-specific evaluations of </w:t>
      </w:r>
      <w:proofErr w:type="spellStart"/>
      <w:r w:rsidRPr="00732F7D">
        <w:rPr>
          <w:rFonts w:ascii="Arial" w:eastAsia="Arial" w:hAnsi="Arial" w:cs="Arial"/>
          <w:color w:val="0070C0"/>
          <w:kern w:val="24"/>
        </w:rPr>
        <w:t>prospectivity</w:t>
      </w:r>
      <w:proofErr w:type="spellEnd"/>
      <w:r w:rsidRPr="00732F7D">
        <w:rPr>
          <w:rFonts w:ascii="Arial" w:eastAsia="Arial" w:hAnsi="Arial" w:cs="Arial"/>
          <w:color w:val="0070C0"/>
          <w:kern w:val="24"/>
        </w:rPr>
        <w:t xml:space="preserve"> and discoveries, and so to discriminate between competing applications, the OGA will mark on a block-by-block basis.  Actual and proposed coverage of seismic data will also be </w:t>
      </w:r>
      <w:proofErr w:type="gramStart"/>
      <w:r w:rsidRPr="00732F7D">
        <w:rPr>
          <w:rFonts w:ascii="Arial" w:eastAsia="Arial" w:hAnsi="Arial" w:cs="Arial"/>
          <w:color w:val="0070C0"/>
          <w:kern w:val="24"/>
        </w:rPr>
        <w:t>taken into account</w:t>
      </w:r>
      <w:proofErr w:type="gramEnd"/>
      <w:r w:rsidRPr="00732F7D">
        <w:rPr>
          <w:rFonts w:ascii="Arial" w:eastAsia="Arial" w:hAnsi="Arial" w:cs="Arial"/>
          <w:color w:val="0070C0"/>
          <w:kern w:val="24"/>
        </w:rPr>
        <w:t xml:space="preserve"> when evaluating individual blocks.  However, since the potential </w:t>
      </w:r>
      <w:r w:rsidRPr="00732F7D">
        <w:rPr>
          <w:rFonts w:ascii="Arial" w:eastAsia="Arial" w:hAnsi="Arial" w:cs="Arial"/>
          <w:i/>
          <w:iCs/>
          <w:color w:val="0070C0"/>
          <w:kern w:val="24"/>
        </w:rPr>
        <w:t>licence</w:t>
      </w:r>
      <w:r w:rsidRPr="00732F7D">
        <w:rPr>
          <w:rFonts w:ascii="Arial" w:eastAsia="Arial" w:hAnsi="Arial" w:cs="Arial"/>
          <w:color w:val="0070C0"/>
          <w:kern w:val="24"/>
        </w:rPr>
        <w:t xml:space="preserve"> will have an overall defined phasing, the phase timing marks will be the same for each block in that group.</w:t>
      </w:r>
    </w:p>
    <w:p w14:paraId="3DA1DC7A" w14:textId="77777777" w:rsidR="00B510B3" w:rsidRPr="00732F7D" w:rsidRDefault="00B510B3" w:rsidP="00B510B3">
      <w:pPr>
        <w:pStyle w:val="NormalWeb"/>
        <w:spacing w:before="200" w:after="0" w:line="216" w:lineRule="auto"/>
        <w:rPr>
          <w:rFonts w:ascii="Arial" w:hAnsi="Arial" w:cs="Arial"/>
          <w:color w:val="0070C0"/>
        </w:rPr>
        <w:sectPr w:rsidR="00B510B3" w:rsidRPr="00732F7D">
          <w:pgSz w:w="11906" w:h="16838"/>
          <w:pgMar w:top="1440" w:right="1440" w:bottom="1440" w:left="1440" w:header="708" w:footer="708" w:gutter="0"/>
          <w:cols w:space="708"/>
          <w:docGrid w:linePitch="360"/>
        </w:sectPr>
      </w:pPr>
    </w:p>
    <w:p w14:paraId="05940EFD" w14:textId="77777777" w:rsidR="00B510B3" w:rsidRPr="00E81AE5" w:rsidRDefault="00B510B3" w:rsidP="00B510B3">
      <w:pPr>
        <w:rPr>
          <w:b/>
          <w:sz w:val="22"/>
          <w:szCs w:val="22"/>
        </w:rPr>
      </w:pPr>
      <w:r w:rsidRPr="00E81AE5">
        <w:rPr>
          <w:b/>
          <w:noProof/>
          <w:sz w:val="22"/>
          <w:szCs w:val="22"/>
        </w:rPr>
        <w:lastRenderedPageBreak/>
        <w:drawing>
          <wp:inline distT="0" distB="0" distL="0" distR="0" wp14:anchorId="38274C81" wp14:editId="56AEB353">
            <wp:extent cx="9152255" cy="5374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60332" cy="5379528"/>
                    </a:xfrm>
                    <a:prstGeom prst="rect">
                      <a:avLst/>
                    </a:prstGeom>
                    <a:noFill/>
                  </pic:spPr>
                </pic:pic>
              </a:graphicData>
            </a:graphic>
          </wp:inline>
        </w:drawing>
      </w:r>
    </w:p>
    <w:p w14:paraId="1C0FAB25" w14:textId="77777777" w:rsidR="00B510B3" w:rsidRPr="00E81AE5" w:rsidRDefault="00B510B3" w:rsidP="00B510B3">
      <w:pPr>
        <w:rPr>
          <w:b/>
          <w:sz w:val="22"/>
          <w:szCs w:val="22"/>
        </w:rPr>
        <w:sectPr w:rsidR="00B510B3" w:rsidRPr="00E81AE5" w:rsidSect="001E7056">
          <w:pgSz w:w="16838" w:h="11906" w:orient="landscape"/>
          <w:pgMar w:top="1440" w:right="1440" w:bottom="1440" w:left="1440" w:header="708" w:footer="708" w:gutter="0"/>
          <w:cols w:space="708"/>
          <w:docGrid w:linePitch="360"/>
        </w:sectPr>
      </w:pPr>
    </w:p>
    <w:p w14:paraId="20257CDD" w14:textId="77777777" w:rsidR="00B510B3" w:rsidRPr="00732F7D" w:rsidRDefault="007C69EE">
      <w:pPr>
        <w:rPr>
          <w:rFonts w:ascii="Arial" w:eastAsia="Arial" w:hAnsi="Arial" w:cs="Arial"/>
          <w:b/>
          <w:bCs/>
          <w:color w:val="0070C0"/>
        </w:rPr>
      </w:pPr>
      <w:r w:rsidRPr="00732F7D">
        <w:rPr>
          <w:rFonts w:ascii="Arial" w:eastAsia="Arial" w:hAnsi="Arial" w:cs="Arial"/>
          <w:b/>
          <w:bCs/>
          <w:color w:val="0070C0"/>
        </w:rPr>
        <w:lastRenderedPageBreak/>
        <w:t>P</w:t>
      </w:r>
      <w:r w:rsidR="00B510B3" w:rsidRPr="00732F7D">
        <w:rPr>
          <w:rFonts w:ascii="Arial" w:eastAsia="Arial" w:hAnsi="Arial" w:cs="Arial"/>
          <w:b/>
          <w:bCs/>
          <w:color w:val="0070C0"/>
        </w:rPr>
        <w:t>Q</w:t>
      </w:r>
      <w:r w:rsidR="00840415" w:rsidRPr="00732F7D">
        <w:rPr>
          <w:rFonts w:ascii="Arial" w:eastAsia="Arial" w:hAnsi="Arial" w:cs="Arial"/>
          <w:b/>
          <w:bCs/>
          <w:color w:val="0070C0"/>
        </w:rPr>
        <w:t>2</w:t>
      </w:r>
      <w:r w:rsidR="00B510B3" w:rsidRPr="00732F7D">
        <w:rPr>
          <w:rFonts w:ascii="Arial" w:eastAsia="Arial" w:hAnsi="Arial" w:cs="Arial"/>
          <w:b/>
          <w:bCs/>
          <w:color w:val="0070C0"/>
        </w:rPr>
        <w:t>: What Mark does a Contingent well attract?</w:t>
      </w:r>
    </w:p>
    <w:p w14:paraId="5933FCA1" w14:textId="77777777" w:rsidR="00B510B3" w:rsidRPr="00732F7D" w:rsidRDefault="00B510B3" w:rsidP="00B510B3">
      <w:pPr>
        <w:rPr>
          <w:rFonts w:ascii="Arial" w:hAnsi="Arial" w:cs="Arial"/>
          <w:b/>
          <w:color w:val="0070C0"/>
        </w:rPr>
      </w:pPr>
    </w:p>
    <w:p w14:paraId="3A6F9E3B"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2</w:t>
      </w:r>
      <w:r w:rsidR="00B510B3" w:rsidRPr="00732F7D">
        <w:rPr>
          <w:rFonts w:ascii="Arial" w:eastAsia="Arial" w:hAnsi="Arial" w:cs="Arial"/>
          <w:b/>
          <w:bCs/>
          <w:color w:val="0070C0"/>
        </w:rPr>
        <w:t>:</w:t>
      </w:r>
      <w:r w:rsidR="00B510B3" w:rsidRPr="00732F7D">
        <w:rPr>
          <w:rFonts w:ascii="Arial" w:eastAsia="Arial" w:hAnsi="Arial" w:cs="Arial"/>
          <w:color w:val="0070C0"/>
        </w:rPr>
        <w:t xml:space="preserve"> A Contingent well will not attract any actual Marks directly as the Financial capacity to drill will not have been considered (the Application will have been submitted under the Phase A/B option in LARRY. Marks will be allocated on the basis of the Start Phase only, so where a Contingent well might be suggested but the Start Phase is Phase A, the Marks will be allocated for a Phase </w:t>
      </w:r>
      <w:proofErr w:type="gramStart"/>
      <w:r w:rsidR="00B510B3" w:rsidRPr="00732F7D">
        <w:rPr>
          <w:rFonts w:ascii="Arial" w:eastAsia="Arial" w:hAnsi="Arial" w:cs="Arial"/>
          <w:color w:val="0070C0"/>
        </w:rPr>
        <w:t>A</w:t>
      </w:r>
      <w:proofErr w:type="gramEnd"/>
      <w:r w:rsidR="00B510B3" w:rsidRPr="00732F7D">
        <w:rPr>
          <w:rFonts w:ascii="Arial" w:eastAsia="Arial" w:hAnsi="Arial" w:cs="Arial"/>
          <w:color w:val="0070C0"/>
        </w:rPr>
        <w:t xml:space="preserve"> Start (i.e. 0 to 10). Where the Start Phase is Phase B, New-Shoot Seismic, then Phase B Start attracts 20 to 40 Marks depending on whether the duration of that Phase is considered Long or Short by the OGA.</w:t>
      </w:r>
    </w:p>
    <w:p w14:paraId="67160CEE" w14:textId="77777777" w:rsidR="00B510B3" w:rsidRPr="00732F7D" w:rsidRDefault="00B510B3">
      <w:pPr>
        <w:rPr>
          <w:rFonts w:ascii="Arial" w:eastAsia="Arial" w:hAnsi="Arial" w:cs="Arial"/>
          <w:color w:val="0070C0"/>
        </w:rPr>
      </w:pPr>
      <w:r w:rsidRPr="00732F7D">
        <w:rPr>
          <w:rFonts w:ascii="Arial" w:eastAsia="Arial" w:hAnsi="Arial" w:cs="Arial"/>
          <w:color w:val="0070C0"/>
        </w:rPr>
        <w:t xml:space="preserve">A Contingent well is one where the decision whether to drill or not is ceded to the OGA. </w:t>
      </w:r>
      <w:proofErr w:type="gramStart"/>
      <w:r w:rsidRPr="00732F7D">
        <w:rPr>
          <w:rFonts w:ascii="Arial" w:eastAsia="Arial" w:hAnsi="Arial" w:cs="Arial"/>
          <w:color w:val="0070C0"/>
        </w:rPr>
        <w:t>Whether or not</w:t>
      </w:r>
      <w:proofErr w:type="gramEnd"/>
      <w:r w:rsidRPr="00732F7D">
        <w:rPr>
          <w:rFonts w:ascii="Arial" w:eastAsia="Arial" w:hAnsi="Arial" w:cs="Arial"/>
          <w:color w:val="0070C0"/>
        </w:rPr>
        <w:t xml:space="preserve"> a well will be drilled depends on dialogue to be held with the OGA as the end of Phase B (or Phase A if there is no Phase B) approaches. Where a waiver for the Contingent well is sought the OGA requires a minimum of six months’ notice. If the well is proposed to be drilled, Financial capacity checks will be carried out prior to entry into Phase C.  </w:t>
      </w:r>
    </w:p>
    <w:p w14:paraId="53FAFBF3"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5EA06BEC" w14:textId="77777777" w:rsidR="00B510B3" w:rsidRPr="00732F7D" w:rsidRDefault="007C69EE">
      <w:pPr>
        <w:pStyle w:val="PlainText"/>
        <w:rPr>
          <w:rFonts w:ascii="Arial" w:eastAsia="Arial" w:hAnsi="Arial" w:cs="Arial"/>
          <w:b/>
          <w:bCs/>
          <w:color w:val="0070C0"/>
        </w:rPr>
      </w:pPr>
      <w:r w:rsidRPr="00732F7D">
        <w:rPr>
          <w:rFonts w:ascii="Arial" w:eastAsia="Arial" w:hAnsi="Arial" w:cs="Arial"/>
          <w:b/>
          <w:bCs/>
          <w:color w:val="0070C0"/>
          <w:lang w:val="en-AU"/>
        </w:rPr>
        <w:t>P</w:t>
      </w:r>
      <w:r w:rsidR="00B510B3" w:rsidRPr="00732F7D">
        <w:rPr>
          <w:rFonts w:ascii="Arial" w:eastAsia="Arial" w:hAnsi="Arial" w:cs="Arial"/>
          <w:b/>
          <w:bCs/>
          <w:color w:val="0070C0"/>
          <w:lang w:val="en-AU"/>
        </w:rPr>
        <w:t>Q</w:t>
      </w:r>
      <w:r w:rsidR="00840415" w:rsidRPr="00732F7D">
        <w:rPr>
          <w:rFonts w:ascii="Arial" w:eastAsia="Arial" w:hAnsi="Arial" w:cs="Arial"/>
          <w:b/>
          <w:bCs/>
          <w:color w:val="0070C0"/>
          <w:lang w:val="en-AU"/>
        </w:rPr>
        <w:t>3</w:t>
      </w:r>
      <w:r w:rsidR="00B510B3" w:rsidRPr="00732F7D">
        <w:rPr>
          <w:rFonts w:ascii="Arial" w:eastAsia="Arial" w:hAnsi="Arial" w:cs="Arial"/>
          <w:b/>
          <w:bCs/>
          <w:color w:val="0070C0"/>
          <w:lang w:val="en-AU"/>
        </w:rPr>
        <w:t xml:space="preserve">: </w:t>
      </w:r>
      <w:r w:rsidR="00B510B3" w:rsidRPr="00732F7D">
        <w:rPr>
          <w:rFonts w:ascii="Arial" w:eastAsia="Arial" w:hAnsi="Arial" w:cs="Arial"/>
          <w:b/>
          <w:bCs/>
          <w:color w:val="0070C0"/>
        </w:rPr>
        <w:t xml:space="preserve">I am looking at the </w:t>
      </w:r>
      <w:r w:rsidR="00F155E0" w:rsidRPr="00732F7D">
        <w:rPr>
          <w:rFonts w:ascii="Arial" w:eastAsia="Arial" w:hAnsi="Arial" w:cs="Arial"/>
          <w:b/>
          <w:bCs/>
          <w:color w:val="0070C0"/>
        </w:rPr>
        <w:t>31</w:t>
      </w:r>
      <w:r w:rsidR="00F155E0" w:rsidRPr="00732F7D">
        <w:rPr>
          <w:rFonts w:ascii="Arial" w:eastAsia="Arial" w:hAnsi="Arial" w:cs="Arial"/>
          <w:b/>
          <w:bCs/>
          <w:color w:val="0070C0"/>
          <w:vertAlign w:val="superscript"/>
        </w:rPr>
        <w:t>st</w:t>
      </w:r>
      <w:r w:rsidR="00F155E0" w:rsidRPr="00732F7D">
        <w:rPr>
          <w:rFonts w:ascii="Arial" w:eastAsia="Arial" w:hAnsi="Arial" w:cs="Arial"/>
          <w:b/>
          <w:bCs/>
          <w:color w:val="0070C0"/>
        </w:rPr>
        <w:t xml:space="preserve"> </w:t>
      </w:r>
      <w:r w:rsidR="00B510B3" w:rsidRPr="00732F7D">
        <w:rPr>
          <w:rFonts w:ascii="Arial" w:eastAsia="Arial" w:hAnsi="Arial" w:cs="Arial"/>
          <w:b/>
          <w:bCs/>
          <w:color w:val="0070C0"/>
        </w:rPr>
        <w:t>Round technical guidance and cannot find a full definition (or reference) relating to contingent commitments. Grateful if you could direct me to the relevant text that now applies.</w:t>
      </w:r>
    </w:p>
    <w:p w14:paraId="4B5923FC" w14:textId="77777777" w:rsidR="00B510B3" w:rsidRPr="00732F7D" w:rsidRDefault="00B510B3" w:rsidP="00B510B3">
      <w:pPr>
        <w:pStyle w:val="PlainText"/>
        <w:rPr>
          <w:rFonts w:ascii="Arial" w:hAnsi="Arial" w:cs="Arial"/>
          <w:i/>
          <w:color w:val="0070C0"/>
        </w:rPr>
      </w:pPr>
      <w:r w:rsidRPr="00732F7D">
        <w:rPr>
          <w:rFonts w:ascii="Arial" w:hAnsi="Arial" w:cs="Arial"/>
          <w:i/>
          <w:color w:val="0070C0"/>
        </w:rPr>
        <w:t xml:space="preserve"> </w:t>
      </w:r>
    </w:p>
    <w:p w14:paraId="35C65FED" w14:textId="77777777" w:rsidR="00B510B3" w:rsidRPr="00732F7D" w:rsidRDefault="00B510B3">
      <w:pPr>
        <w:pStyle w:val="PlainText"/>
        <w:rPr>
          <w:rFonts w:ascii="Arial" w:eastAsia="Arial" w:hAnsi="Arial" w:cs="Arial"/>
          <w:b/>
          <w:bCs/>
          <w:color w:val="0070C0"/>
        </w:rPr>
      </w:pPr>
      <w:r w:rsidRPr="00732F7D">
        <w:rPr>
          <w:rFonts w:ascii="Arial" w:eastAsia="Arial" w:hAnsi="Arial" w:cs="Arial"/>
          <w:b/>
          <w:bCs/>
          <w:color w:val="0070C0"/>
        </w:rPr>
        <w:t xml:space="preserve">Assuming it is </w:t>
      </w:r>
      <w:proofErr w:type="gramStart"/>
      <w:r w:rsidRPr="00732F7D">
        <w:rPr>
          <w:rFonts w:ascii="Arial" w:eastAsia="Arial" w:hAnsi="Arial" w:cs="Arial"/>
          <w:b/>
          <w:bCs/>
          <w:color w:val="0070C0"/>
        </w:rPr>
        <w:t>similar to</w:t>
      </w:r>
      <w:proofErr w:type="gramEnd"/>
      <w:r w:rsidRPr="00732F7D">
        <w:rPr>
          <w:rFonts w:ascii="Arial" w:eastAsia="Arial" w:hAnsi="Arial" w:cs="Arial"/>
          <w:b/>
          <w:bCs/>
          <w:color w:val="0070C0"/>
        </w:rPr>
        <w:t xml:space="preserve"> the </w:t>
      </w:r>
      <w:r w:rsidR="00F155E0" w:rsidRPr="00732F7D">
        <w:rPr>
          <w:rFonts w:ascii="Arial" w:eastAsia="Arial" w:hAnsi="Arial" w:cs="Arial"/>
          <w:b/>
          <w:bCs/>
          <w:color w:val="0070C0"/>
        </w:rPr>
        <w:t>30</w:t>
      </w:r>
      <w:r w:rsidR="00F155E0" w:rsidRPr="00732F7D">
        <w:rPr>
          <w:rFonts w:ascii="Arial" w:eastAsia="Arial" w:hAnsi="Arial" w:cs="Arial"/>
          <w:b/>
          <w:bCs/>
          <w:color w:val="0070C0"/>
          <w:vertAlign w:val="superscript"/>
        </w:rPr>
        <w:t>th</w:t>
      </w:r>
      <w:r w:rsidR="00F155E0" w:rsidRPr="00732F7D">
        <w:rPr>
          <w:rFonts w:ascii="Arial" w:eastAsia="Arial" w:hAnsi="Arial" w:cs="Arial"/>
          <w:b/>
          <w:bCs/>
          <w:color w:val="0070C0"/>
        </w:rPr>
        <w:t xml:space="preserve"> </w:t>
      </w:r>
      <w:r w:rsidRPr="00732F7D">
        <w:rPr>
          <w:rFonts w:ascii="Arial" w:eastAsia="Arial" w:hAnsi="Arial" w:cs="Arial"/>
          <w:b/>
          <w:bCs/>
          <w:color w:val="0070C0"/>
        </w:rPr>
        <w:t>Round, where the case to be relieved of the commitment is in the hands of OGA and they insist the well is drilled in accordance with MER policy, then what happens where the licence holder does not have the financial capability to drill e.g. where the licensee is essentially a 'promote' type company. No doubt the licence would then end but my concern is that, where there is no financial capacity check made at the time of application for a Phase B new shoot seismic and contingent well, is it appropriate (all other things being equal) and fair on those who already have such capability, to accept a contingent commitment without considering anything about the applicant's financial capability?</w:t>
      </w:r>
    </w:p>
    <w:p w14:paraId="165AD7B9" w14:textId="77777777" w:rsidR="00B510B3" w:rsidRPr="00732F7D" w:rsidRDefault="00B510B3" w:rsidP="00B510B3">
      <w:pPr>
        <w:pStyle w:val="Default"/>
        <w:rPr>
          <w:color w:val="0070C0"/>
        </w:rPr>
      </w:pPr>
    </w:p>
    <w:p w14:paraId="361298C4" w14:textId="77777777" w:rsidR="00B510B3" w:rsidRPr="00732F7D" w:rsidRDefault="00EC5602">
      <w:pPr>
        <w:pStyle w:val="Default"/>
        <w:rPr>
          <w:b/>
          <w:bCs/>
          <w:i/>
          <w:iCs/>
          <w:color w:val="0070C0"/>
        </w:rPr>
      </w:pPr>
      <w:r w:rsidRPr="00732F7D">
        <w:rPr>
          <w:b/>
          <w:bCs/>
          <w:color w:val="0070C0"/>
        </w:rPr>
        <w:t>P</w:t>
      </w:r>
      <w:r w:rsidR="00B510B3" w:rsidRPr="00732F7D">
        <w:rPr>
          <w:b/>
          <w:bCs/>
          <w:color w:val="0070C0"/>
        </w:rPr>
        <w:t>A</w:t>
      </w:r>
      <w:r w:rsidR="00840415" w:rsidRPr="00732F7D">
        <w:rPr>
          <w:b/>
          <w:bCs/>
          <w:color w:val="0070C0"/>
        </w:rPr>
        <w:t>3</w:t>
      </w:r>
      <w:r w:rsidR="00B510B3" w:rsidRPr="00732F7D">
        <w:rPr>
          <w:b/>
          <w:bCs/>
          <w:color w:val="0070C0"/>
        </w:rPr>
        <w:t>:</w:t>
      </w:r>
      <w:r w:rsidR="00B510B3" w:rsidRPr="00732F7D">
        <w:rPr>
          <w:color w:val="0070C0"/>
        </w:rPr>
        <w:t xml:space="preserve"> A </w:t>
      </w:r>
      <w:r w:rsidR="00B510B3" w:rsidRPr="00732F7D">
        <w:rPr>
          <w:i/>
          <w:iCs/>
          <w:color w:val="0070C0"/>
        </w:rPr>
        <w:t xml:space="preserve">Contingent Drilling Commitment </w:t>
      </w:r>
      <w:r w:rsidR="00B510B3" w:rsidRPr="00732F7D">
        <w:rPr>
          <w:color w:val="0070C0"/>
        </w:rPr>
        <w:t xml:space="preserve">is also a commitment to the Secretary of State to drill a well, but it includes specific provision for the OGA to waive the commitment if we agree that drilling would not be an appropriate use of resources, having regard to the MER UK policy, and all the information available to the OGA at the time of consideration, </w:t>
      </w:r>
      <w:proofErr w:type="gramStart"/>
      <w:r w:rsidR="00B510B3" w:rsidRPr="00732F7D">
        <w:rPr>
          <w:color w:val="0070C0"/>
        </w:rPr>
        <w:t>in particular the</w:t>
      </w:r>
      <w:proofErr w:type="gramEnd"/>
      <w:r w:rsidR="00B510B3" w:rsidRPr="00732F7D">
        <w:rPr>
          <w:color w:val="0070C0"/>
        </w:rPr>
        <w:t xml:space="preserve"> agreed evaluation of specified further technical work (e.g. a technical study based on a new seismic survey). If the Licensee feels that the well is not justified, it must make a technical and, where appropriate, economic case to the OGA to have the commitment waived, </w:t>
      </w:r>
      <w:r w:rsidR="00B510B3" w:rsidRPr="00732F7D">
        <w:rPr>
          <w:b/>
          <w:bCs/>
          <w:i/>
          <w:iCs/>
          <w:color w:val="0070C0"/>
        </w:rPr>
        <w:t>no later than one year prior to the end of the Initial Term</w:t>
      </w:r>
      <w:r w:rsidR="00DC2B6E" w:rsidRPr="00732F7D">
        <w:rPr>
          <w:b/>
          <w:bCs/>
          <w:i/>
          <w:iCs/>
          <w:color w:val="0070C0"/>
        </w:rPr>
        <w:t>.</w:t>
      </w:r>
      <w:r w:rsidR="00B510B3" w:rsidRPr="00732F7D">
        <w:rPr>
          <w:b/>
          <w:bCs/>
          <w:i/>
          <w:iCs/>
          <w:color w:val="0070C0"/>
        </w:rPr>
        <w:t xml:space="preserve"> </w:t>
      </w:r>
    </w:p>
    <w:p w14:paraId="027B78C4"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55D49759" w14:textId="77777777" w:rsidR="00B510B3" w:rsidRPr="00732F7D" w:rsidRDefault="007C69EE">
      <w:pPr>
        <w:pStyle w:val="PlainText"/>
        <w:rPr>
          <w:rFonts w:ascii="Arial" w:eastAsia="Arial" w:hAnsi="Arial" w:cs="Arial"/>
          <w:b/>
          <w:bCs/>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4</w:t>
      </w:r>
      <w:r w:rsidR="00B510B3" w:rsidRPr="00732F7D">
        <w:rPr>
          <w:rFonts w:ascii="Arial" w:eastAsia="Arial" w:hAnsi="Arial" w:cs="Arial"/>
          <w:b/>
          <w:bCs/>
          <w:color w:val="0070C0"/>
        </w:rPr>
        <w:t>: Will any agreed work programme 'amendments' (as described in the new Model Clauses) be made publicly available showing when agreed and how revised?</w:t>
      </w:r>
    </w:p>
    <w:p w14:paraId="57BF0840" w14:textId="77777777" w:rsidR="00B510B3" w:rsidRPr="00732F7D" w:rsidRDefault="00B510B3" w:rsidP="00B510B3">
      <w:pPr>
        <w:rPr>
          <w:rFonts w:ascii="Arial" w:hAnsi="Arial" w:cs="Arial"/>
          <w:color w:val="0070C0"/>
          <w:lang w:val="en-AU"/>
        </w:rPr>
      </w:pPr>
    </w:p>
    <w:p w14:paraId="56AC64B4" w14:textId="77777777" w:rsidR="00B510B3" w:rsidRPr="00732F7D" w:rsidRDefault="00EC5602">
      <w:pPr>
        <w:rPr>
          <w:rFonts w:ascii="Arial" w:eastAsia="Arial" w:hAnsi="Arial" w:cs="Arial"/>
          <w:b/>
          <w:bCs/>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4</w:t>
      </w:r>
      <w:r w:rsidR="00B510B3" w:rsidRPr="00732F7D">
        <w:rPr>
          <w:rFonts w:ascii="Arial" w:eastAsia="Arial" w:hAnsi="Arial" w:cs="Arial"/>
          <w:b/>
          <w:bCs/>
          <w:color w:val="0070C0"/>
        </w:rPr>
        <w:t xml:space="preserve">: </w:t>
      </w:r>
      <w:r w:rsidR="00B510B3" w:rsidRPr="00732F7D">
        <w:rPr>
          <w:rFonts w:ascii="Arial" w:eastAsia="Arial" w:hAnsi="Arial" w:cs="Arial"/>
          <w:color w:val="0070C0"/>
        </w:rPr>
        <w:t xml:space="preserve">The OGA does not intend to make Work Programme “amendments” publicly available. They are usually made by letter agreement where minor, or by Deed of Amendment if of a more substantive nature, such as a different Geological horizon for the well depth. Before agreeing to any amendment, the OGA considers whether any competitor at the time of the original Application would be disadvantaged, but it is effectively an agreement between the OGA and the current Licensees, based on the data and information available at the time. </w:t>
      </w:r>
      <w:r w:rsidR="00B510B3" w:rsidRPr="00732F7D">
        <w:rPr>
          <w:rFonts w:ascii="Arial" w:eastAsia="Arial" w:hAnsi="Arial" w:cs="Arial"/>
          <w:b/>
          <w:bCs/>
          <w:color w:val="0070C0"/>
        </w:rPr>
        <w:t xml:space="preserve"> </w:t>
      </w:r>
    </w:p>
    <w:p w14:paraId="2EA024FC"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lastRenderedPageBreak/>
        <w:t>---------------------------------------------------------------------</w:t>
      </w:r>
    </w:p>
    <w:p w14:paraId="50B797FC" w14:textId="77777777" w:rsidR="00B510B3" w:rsidRPr="00732F7D" w:rsidRDefault="007C69EE">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5</w:t>
      </w:r>
      <w:r w:rsidR="00B510B3" w:rsidRPr="00732F7D">
        <w:rPr>
          <w:rFonts w:ascii="Arial" w:eastAsia="Arial" w:hAnsi="Arial" w:cs="Arial"/>
          <w:b/>
          <w:bCs/>
          <w:color w:val="0070C0"/>
        </w:rPr>
        <w:t xml:space="preserve">: </w:t>
      </w:r>
      <w:r w:rsidR="00B510B3" w:rsidRPr="00732F7D">
        <w:rPr>
          <w:rFonts w:ascii="Arial" w:eastAsia="Arial" w:hAnsi="Arial" w:cs="Arial"/>
          <w:b/>
          <w:color w:val="0070C0"/>
        </w:rPr>
        <w:t xml:space="preserve">Is there anything to prevent a Company applying for a Block (or series of Blocks) with one Group which identifies </w:t>
      </w:r>
      <w:proofErr w:type="spellStart"/>
      <w:r w:rsidR="00B510B3" w:rsidRPr="00732F7D">
        <w:rPr>
          <w:rFonts w:ascii="Arial" w:eastAsia="Arial" w:hAnsi="Arial" w:cs="Arial"/>
          <w:b/>
          <w:color w:val="0070C0"/>
        </w:rPr>
        <w:t>prospectivity</w:t>
      </w:r>
      <w:proofErr w:type="spellEnd"/>
      <w:r w:rsidR="00B510B3" w:rsidRPr="00732F7D">
        <w:rPr>
          <w:rFonts w:ascii="Arial" w:eastAsia="Arial" w:hAnsi="Arial" w:cs="Arial"/>
          <w:b/>
          <w:color w:val="0070C0"/>
        </w:rPr>
        <w:t xml:space="preserve"> in one part of the Block(s) also applying for the same Block(s) with a different Group which sees different </w:t>
      </w:r>
      <w:proofErr w:type="spellStart"/>
      <w:r w:rsidR="00B510B3" w:rsidRPr="00732F7D">
        <w:rPr>
          <w:rFonts w:ascii="Arial" w:eastAsia="Arial" w:hAnsi="Arial" w:cs="Arial"/>
          <w:b/>
          <w:color w:val="0070C0"/>
        </w:rPr>
        <w:t>prospectivity</w:t>
      </w:r>
      <w:proofErr w:type="spellEnd"/>
      <w:r w:rsidR="00B510B3" w:rsidRPr="00732F7D">
        <w:rPr>
          <w:rFonts w:ascii="Arial" w:eastAsia="Arial" w:hAnsi="Arial" w:cs="Arial"/>
          <w:b/>
          <w:color w:val="0070C0"/>
        </w:rPr>
        <w:t xml:space="preserve"> in another part of the Block(s).</w:t>
      </w:r>
      <w:r w:rsidR="00B510B3" w:rsidRPr="00732F7D">
        <w:rPr>
          <w:rFonts w:ascii="Arial" w:eastAsia="Arial" w:hAnsi="Arial" w:cs="Arial"/>
          <w:color w:val="0070C0"/>
        </w:rPr>
        <w:t xml:space="preserve"> </w:t>
      </w:r>
    </w:p>
    <w:p w14:paraId="2E4E807B" w14:textId="77777777" w:rsidR="00B510B3" w:rsidRPr="00732F7D" w:rsidRDefault="00B510B3">
      <w:pPr>
        <w:ind w:left="720"/>
        <w:rPr>
          <w:rFonts w:ascii="Arial" w:eastAsia="Arial" w:hAnsi="Arial" w:cs="Arial"/>
          <w:i/>
          <w:iCs/>
          <w:color w:val="0070C0"/>
        </w:rPr>
      </w:pPr>
      <w:r w:rsidRPr="00732F7D">
        <w:rPr>
          <w:rFonts w:ascii="Arial" w:eastAsia="Arial" w:hAnsi="Arial" w:cs="Arial"/>
          <w:i/>
          <w:iCs/>
          <w:color w:val="0070C0"/>
        </w:rPr>
        <w:t>Example: block 35/15 is open and named as being available in 30</w:t>
      </w:r>
      <w:r w:rsidRPr="00732F7D">
        <w:rPr>
          <w:rFonts w:ascii="Arial" w:eastAsia="Arial" w:hAnsi="Arial" w:cs="Arial"/>
          <w:i/>
          <w:iCs/>
          <w:color w:val="0070C0"/>
          <w:vertAlign w:val="superscript"/>
        </w:rPr>
        <w:t>th</w:t>
      </w:r>
      <w:r w:rsidRPr="00732F7D">
        <w:rPr>
          <w:rFonts w:ascii="Arial" w:eastAsia="Arial" w:hAnsi="Arial" w:cs="Arial"/>
          <w:i/>
          <w:iCs/>
          <w:color w:val="0070C0"/>
        </w:rPr>
        <w:t xml:space="preserve"> Round.</w:t>
      </w:r>
    </w:p>
    <w:p w14:paraId="14A3B1AC" w14:textId="77777777" w:rsidR="00B510B3" w:rsidRPr="00732F7D" w:rsidRDefault="00B510B3">
      <w:pPr>
        <w:ind w:left="720"/>
        <w:rPr>
          <w:rFonts w:ascii="Arial" w:eastAsia="Arial" w:hAnsi="Arial" w:cs="Arial"/>
          <w:i/>
          <w:iCs/>
          <w:color w:val="0070C0"/>
        </w:rPr>
      </w:pPr>
      <w:r w:rsidRPr="00732F7D">
        <w:rPr>
          <w:rFonts w:ascii="Arial" w:eastAsia="Arial" w:hAnsi="Arial" w:cs="Arial"/>
          <w:i/>
          <w:iCs/>
          <w:color w:val="0070C0"/>
        </w:rPr>
        <w:t xml:space="preserve">Company A is interested in </w:t>
      </w:r>
      <w:proofErr w:type="spellStart"/>
      <w:r w:rsidRPr="00732F7D">
        <w:rPr>
          <w:rFonts w:ascii="Arial" w:eastAsia="Arial" w:hAnsi="Arial" w:cs="Arial"/>
          <w:i/>
          <w:iCs/>
          <w:color w:val="0070C0"/>
        </w:rPr>
        <w:t>prospectivity</w:t>
      </w:r>
      <w:proofErr w:type="spellEnd"/>
      <w:r w:rsidRPr="00732F7D">
        <w:rPr>
          <w:rFonts w:ascii="Arial" w:eastAsia="Arial" w:hAnsi="Arial" w:cs="Arial"/>
          <w:i/>
          <w:iCs/>
          <w:color w:val="0070C0"/>
        </w:rPr>
        <w:t xml:space="preserve"> in 2 parts of block 35/15, in the west with company B, and in the east with company C.</w:t>
      </w:r>
    </w:p>
    <w:p w14:paraId="66E3D5CB" w14:textId="77777777" w:rsidR="00B510B3" w:rsidRPr="00732F7D" w:rsidRDefault="00B510B3">
      <w:pPr>
        <w:ind w:left="720"/>
        <w:rPr>
          <w:rFonts w:ascii="Arial" w:eastAsia="Arial" w:hAnsi="Arial" w:cs="Arial"/>
          <w:i/>
          <w:iCs/>
          <w:color w:val="0070C0"/>
        </w:rPr>
      </w:pPr>
      <w:r w:rsidRPr="00732F7D">
        <w:rPr>
          <w:rFonts w:ascii="Arial" w:eastAsia="Arial" w:hAnsi="Arial" w:cs="Arial"/>
          <w:i/>
          <w:iCs/>
          <w:color w:val="0070C0"/>
        </w:rPr>
        <w:t xml:space="preserve">Given that applications need to be made for whole blocks and company A does not want to bid together with company B &amp; company C – </w:t>
      </w:r>
    </w:p>
    <w:p w14:paraId="4D8DC36F" w14:textId="77777777" w:rsidR="00B510B3" w:rsidRPr="00732F7D" w:rsidRDefault="00B510B3">
      <w:pPr>
        <w:ind w:left="720"/>
        <w:rPr>
          <w:rFonts w:ascii="Arial" w:eastAsia="Arial" w:hAnsi="Arial" w:cs="Arial"/>
          <w:i/>
          <w:iCs/>
          <w:color w:val="0070C0"/>
        </w:rPr>
      </w:pPr>
      <w:r w:rsidRPr="00732F7D">
        <w:rPr>
          <w:rFonts w:ascii="Arial" w:eastAsia="Arial" w:hAnsi="Arial" w:cs="Arial"/>
          <w:i/>
          <w:iCs/>
          <w:color w:val="0070C0"/>
        </w:rPr>
        <w:t>Does company A need to submit 2 applications for block 35/15, one with company B with a work programme, clearly indicating area of interest, one with company C with a different area of interest and work programme?  </w:t>
      </w:r>
    </w:p>
    <w:p w14:paraId="528F485F" w14:textId="77777777" w:rsidR="007C69EE" w:rsidRPr="00732F7D" w:rsidRDefault="007C69EE" w:rsidP="00B510B3">
      <w:pPr>
        <w:ind w:left="720"/>
        <w:rPr>
          <w:rFonts w:ascii="Arial" w:hAnsi="Arial" w:cs="Arial"/>
          <w:i/>
          <w:color w:val="0070C0"/>
        </w:rPr>
      </w:pPr>
    </w:p>
    <w:p w14:paraId="5DD8568D"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5</w:t>
      </w:r>
      <w:r w:rsidR="00B510B3" w:rsidRPr="00732F7D">
        <w:rPr>
          <w:rFonts w:ascii="Arial" w:eastAsia="Arial" w:hAnsi="Arial" w:cs="Arial"/>
          <w:b/>
          <w:bCs/>
          <w:color w:val="0070C0"/>
        </w:rPr>
        <w:t xml:space="preserve">: </w:t>
      </w:r>
      <w:r w:rsidR="00B510B3" w:rsidRPr="00732F7D">
        <w:rPr>
          <w:rFonts w:ascii="Arial" w:eastAsia="Arial" w:hAnsi="Arial" w:cs="Arial"/>
          <w:color w:val="0070C0"/>
        </w:rPr>
        <w:t xml:space="preserve">There is nothing in the Guidance which says this cannot be done. Whilst whole Block(s) available </w:t>
      </w:r>
      <w:proofErr w:type="gramStart"/>
      <w:r w:rsidR="00B510B3" w:rsidRPr="00732F7D">
        <w:rPr>
          <w:rFonts w:ascii="Arial" w:eastAsia="Arial" w:hAnsi="Arial" w:cs="Arial"/>
          <w:color w:val="0070C0"/>
        </w:rPr>
        <w:t>have to</w:t>
      </w:r>
      <w:proofErr w:type="gramEnd"/>
      <w:r w:rsidR="00B510B3" w:rsidRPr="00732F7D">
        <w:rPr>
          <w:rFonts w:ascii="Arial" w:eastAsia="Arial" w:hAnsi="Arial" w:cs="Arial"/>
          <w:color w:val="0070C0"/>
        </w:rPr>
        <w:t xml:space="preserve"> be applied for, Groups can identify preferred areas of the Block(s). Two separate Applications will need to be submitted as the potential Licensees will be different, and separate Work Programmes would apply.</w:t>
      </w:r>
    </w:p>
    <w:p w14:paraId="4F7D4A98" w14:textId="77777777" w:rsidR="00B510B3" w:rsidRPr="00732F7D" w:rsidRDefault="00B510B3">
      <w:pPr>
        <w:jc w:val="center"/>
        <w:rPr>
          <w:rFonts w:ascii="Arial" w:eastAsia="Arial" w:hAnsi="Arial" w:cs="Arial"/>
          <w:color w:val="0070C0"/>
        </w:rPr>
      </w:pPr>
      <w:r w:rsidRPr="00732F7D">
        <w:rPr>
          <w:rFonts w:ascii="Arial" w:eastAsia="Arial" w:hAnsi="Arial" w:cs="Arial"/>
          <w:color w:val="0070C0"/>
        </w:rPr>
        <w:t>---------------------------------------------------------------------</w:t>
      </w:r>
    </w:p>
    <w:p w14:paraId="14A38E3A" w14:textId="77777777" w:rsidR="00B510B3" w:rsidRPr="00732F7D" w:rsidRDefault="007C69EE">
      <w:pPr>
        <w:rPr>
          <w:rFonts w:ascii="Arial" w:eastAsia="Arial" w:hAnsi="Arial" w:cs="Arial"/>
          <w:b/>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6</w:t>
      </w:r>
      <w:r w:rsidR="00B510B3" w:rsidRPr="00732F7D">
        <w:rPr>
          <w:rFonts w:ascii="Arial" w:eastAsia="Arial" w:hAnsi="Arial" w:cs="Arial"/>
          <w:b/>
          <w:bCs/>
          <w:color w:val="0070C0"/>
        </w:rPr>
        <w:t xml:space="preserve">: </w:t>
      </w:r>
      <w:r w:rsidR="00B510B3" w:rsidRPr="00732F7D">
        <w:rPr>
          <w:rFonts w:ascii="Arial" w:eastAsia="Arial" w:hAnsi="Arial" w:cs="Arial"/>
          <w:b/>
          <w:color w:val="0070C0"/>
        </w:rPr>
        <w:t>What are the Rental Rates for the Second Term?</w:t>
      </w:r>
    </w:p>
    <w:p w14:paraId="6193F4DA" w14:textId="77777777" w:rsidR="007C69EE" w:rsidRPr="00732F7D" w:rsidRDefault="007C69EE" w:rsidP="00B510B3">
      <w:pPr>
        <w:rPr>
          <w:rFonts w:ascii="Arial" w:hAnsi="Arial" w:cs="Arial"/>
          <w:b/>
          <w:bCs/>
          <w:color w:val="0070C0"/>
        </w:rPr>
      </w:pPr>
    </w:p>
    <w:p w14:paraId="0425285D"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6</w:t>
      </w:r>
      <w:r w:rsidR="00B510B3" w:rsidRPr="00732F7D">
        <w:rPr>
          <w:rFonts w:ascii="Arial" w:eastAsia="Arial" w:hAnsi="Arial" w:cs="Arial"/>
          <w:b/>
          <w:bCs/>
          <w:color w:val="0070C0"/>
        </w:rPr>
        <w:t xml:space="preserve">: </w:t>
      </w:r>
      <w:r w:rsidR="00B510B3" w:rsidRPr="00732F7D">
        <w:rPr>
          <w:rFonts w:ascii="Arial" w:eastAsia="Arial" w:hAnsi="Arial" w:cs="Arial"/>
          <w:color w:val="0070C0"/>
        </w:rPr>
        <w:t>Rentals for the Second and Third Terms are indicated in Annexe 1 of the General Guidance paragraph 1) (d) “on each subsequent date after the Initial Term:” so the annual Rentals increase until the 10</w:t>
      </w:r>
      <w:r w:rsidR="00B510B3" w:rsidRPr="00732F7D">
        <w:rPr>
          <w:rFonts w:ascii="Arial" w:eastAsia="Arial" w:hAnsi="Arial" w:cs="Arial"/>
          <w:color w:val="0070C0"/>
          <w:vertAlign w:val="superscript"/>
        </w:rPr>
        <w:t>th</w:t>
      </w:r>
      <w:r w:rsidR="00B510B3" w:rsidRPr="00732F7D">
        <w:rPr>
          <w:rFonts w:ascii="Arial" w:eastAsia="Arial" w:hAnsi="Arial" w:cs="Arial"/>
          <w:color w:val="0070C0"/>
        </w:rPr>
        <w:t xml:space="preserve"> year when they are fixed at £7,500 for the remainder of the Licence.</w:t>
      </w:r>
    </w:p>
    <w:p w14:paraId="208A311C" w14:textId="77777777" w:rsidR="00B510B3" w:rsidRPr="00732F7D" w:rsidRDefault="00B510B3">
      <w:pPr>
        <w:jc w:val="center"/>
        <w:rPr>
          <w:rFonts w:ascii="Arial" w:eastAsia="Arial" w:hAnsi="Arial" w:cs="Arial"/>
          <w:color w:val="0070C0"/>
        </w:rPr>
      </w:pPr>
      <w:r w:rsidRPr="00732F7D">
        <w:rPr>
          <w:rFonts w:ascii="Arial" w:eastAsia="Arial" w:hAnsi="Arial" w:cs="Arial"/>
          <w:color w:val="0070C0"/>
        </w:rPr>
        <w:t>---------------------------------------------------------------------</w:t>
      </w:r>
    </w:p>
    <w:p w14:paraId="708AB0EC" w14:textId="77777777" w:rsidR="00B510B3" w:rsidRPr="00732F7D" w:rsidRDefault="007C69EE">
      <w:pPr>
        <w:rPr>
          <w:rFonts w:ascii="Arial" w:eastAsia="Arial" w:hAnsi="Arial" w:cs="Arial"/>
          <w:b/>
          <w:bCs/>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7</w:t>
      </w:r>
      <w:r w:rsidR="00B510B3" w:rsidRPr="00732F7D">
        <w:rPr>
          <w:rFonts w:ascii="Arial" w:eastAsia="Arial" w:hAnsi="Arial" w:cs="Arial"/>
          <w:b/>
          <w:bCs/>
          <w:color w:val="0070C0"/>
        </w:rPr>
        <w:t>: What does a Straight to Second Term look like?</w:t>
      </w:r>
    </w:p>
    <w:p w14:paraId="13B23EF4" w14:textId="77777777" w:rsidR="007C69EE" w:rsidRPr="00732F7D" w:rsidRDefault="007C69EE" w:rsidP="00B510B3">
      <w:pPr>
        <w:rPr>
          <w:rFonts w:ascii="Arial" w:hAnsi="Arial" w:cs="Arial"/>
          <w:b/>
          <w:bCs/>
          <w:color w:val="0070C0"/>
        </w:rPr>
      </w:pPr>
    </w:p>
    <w:p w14:paraId="3825DBCD"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7</w:t>
      </w:r>
      <w:r w:rsidR="00B510B3" w:rsidRPr="00732F7D">
        <w:rPr>
          <w:rFonts w:ascii="Arial" w:eastAsia="Arial" w:hAnsi="Arial" w:cs="Arial"/>
          <w:b/>
          <w:bCs/>
          <w:color w:val="0070C0"/>
        </w:rPr>
        <w:t xml:space="preserve">: </w:t>
      </w:r>
      <w:r w:rsidR="00B510B3" w:rsidRPr="00732F7D">
        <w:rPr>
          <w:rFonts w:ascii="Arial" w:eastAsia="Arial" w:hAnsi="Arial" w:cs="Arial"/>
          <w:color w:val="0070C0"/>
        </w:rPr>
        <w:t>The Second Term, effectively for Appraisal and other work leading to Field Development Plan approval prior to its expiry, is also of flexible duration and should be designed by the Applicant to fit the expected programme of work that will result in an approved FDP. The applicant should outline their proposed work with a timeline showing key milestones and dependencies. In paragraph 15 of the Technical Guidance the OGA states that “The requested duration of the Second Term should be indicated (normally 4 years for Developments or Re-Developments in mature areas but with a maximum duration of 6 years).”</w:t>
      </w:r>
    </w:p>
    <w:p w14:paraId="1F6E140D" w14:textId="77777777" w:rsidR="00B510B3" w:rsidRPr="00732F7D" w:rsidRDefault="00B510B3">
      <w:pPr>
        <w:jc w:val="center"/>
        <w:rPr>
          <w:rFonts w:ascii="Arial" w:eastAsia="Arial" w:hAnsi="Arial" w:cs="Arial"/>
          <w:color w:val="0070C0"/>
        </w:rPr>
      </w:pPr>
      <w:r w:rsidRPr="00732F7D">
        <w:rPr>
          <w:rFonts w:ascii="Arial" w:eastAsia="Arial" w:hAnsi="Arial" w:cs="Arial"/>
          <w:color w:val="0070C0"/>
        </w:rPr>
        <w:t>---------------------------------------------------------------------</w:t>
      </w:r>
    </w:p>
    <w:p w14:paraId="5D0402A0" w14:textId="77777777" w:rsidR="00B510B3" w:rsidRPr="00732F7D" w:rsidRDefault="007C69EE">
      <w:pPr>
        <w:rPr>
          <w:rFonts w:ascii="Arial" w:eastAsia="Arial" w:hAnsi="Arial" w:cs="Arial"/>
          <w:b/>
          <w:bCs/>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8</w:t>
      </w:r>
      <w:r w:rsidR="00B510B3" w:rsidRPr="00732F7D">
        <w:rPr>
          <w:rFonts w:ascii="Arial" w:eastAsia="Arial" w:hAnsi="Arial" w:cs="Arial"/>
          <w:b/>
          <w:bCs/>
          <w:color w:val="0070C0"/>
        </w:rPr>
        <w:t>: Where the Application is for a Straight to Second Term (potential) Licence, what is an appropriate Pre-Development Programme?</w:t>
      </w:r>
    </w:p>
    <w:p w14:paraId="7DE58E09" w14:textId="77777777" w:rsidR="00E518A8" w:rsidRPr="00732F7D" w:rsidRDefault="00E518A8">
      <w:pPr>
        <w:rPr>
          <w:rFonts w:ascii="Arial" w:eastAsia="Arial" w:hAnsi="Arial" w:cs="Arial"/>
          <w:b/>
          <w:bCs/>
          <w:color w:val="0070C0"/>
        </w:rPr>
      </w:pPr>
    </w:p>
    <w:p w14:paraId="6A86EE45"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8</w:t>
      </w:r>
      <w:r w:rsidR="00B510B3" w:rsidRPr="00732F7D">
        <w:rPr>
          <w:rFonts w:ascii="Arial" w:eastAsia="Arial" w:hAnsi="Arial" w:cs="Arial"/>
          <w:b/>
          <w:bCs/>
          <w:color w:val="0070C0"/>
        </w:rPr>
        <w:t xml:space="preserve">: </w:t>
      </w:r>
      <w:r w:rsidR="00B510B3" w:rsidRPr="00732F7D">
        <w:rPr>
          <w:rFonts w:ascii="Arial" w:eastAsia="Arial" w:hAnsi="Arial" w:cs="Arial"/>
          <w:color w:val="0070C0"/>
        </w:rPr>
        <w:t>A programme of work is required to demonstrate how the Applicant proposes to progress the Discovery, or Field where Production has ceased, to an approvable Field Development Plan (FDP) prior to the end of the Second Term.</w:t>
      </w:r>
    </w:p>
    <w:p w14:paraId="556FC8C6" w14:textId="77777777" w:rsidR="00B510B3" w:rsidRPr="00732F7D" w:rsidRDefault="00B510B3" w:rsidP="00B510B3">
      <w:pPr>
        <w:rPr>
          <w:rFonts w:ascii="Arial" w:hAnsi="Arial" w:cs="Arial"/>
          <w:color w:val="0070C0"/>
        </w:rPr>
      </w:pPr>
    </w:p>
    <w:p w14:paraId="3C762980" w14:textId="77777777" w:rsidR="00B510B3" w:rsidRPr="00732F7D" w:rsidRDefault="00B510B3">
      <w:pPr>
        <w:rPr>
          <w:rFonts w:ascii="Arial" w:eastAsia="Arial" w:hAnsi="Arial" w:cs="Arial"/>
          <w:color w:val="0070C0"/>
        </w:rPr>
      </w:pPr>
      <w:r w:rsidRPr="00732F7D">
        <w:rPr>
          <w:rFonts w:ascii="Arial" w:eastAsia="Arial" w:hAnsi="Arial" w:cs="Arial"/>
          <w:color w:val="0070C0"/>
        </w:rPr>
        <w:t xml:space="preserve">The OGA cannot be prescriptive as to what this Plan may comprise, but it would be expected that a description of the subsurface would be supplied, proposals as to how the hydrocarbons would be developed, proposed facilities concepts and solutions, offtake routes, the application of new and emerging technologies, contracting strategies, etc, as far as is known at the time of Application, and a timeline with the work flow to reach FDP </w:t>
      </w:r>
      <w:r w:rsidRPr="00732F7D">
        <w:rPr>
          <w:rFonts w:ascii="Arial" w:eastAsia="Arial" w:hAnsi="Arial" w:cs="Arial"/>
          <w:color w:val="0070C0"/>
        </w:rPr>
        <w:lastRenderedPageBreak/>
        <w:t>submission demonstrating an understanding of the processes necessary to gain approval.</w:t>
      </w:r>
      <w:r w:rsidRPr="00732F7D">
        <w:rPr>
          <w:rFonts w:ascii="Arial" w:eastAsia="Arial" w:hAnsi="Arial" w:cs="Arial"/>
          <w:b/>
          <w:bCs/>
          <w:color w:val="0070C0"/>
        </w:rPr>
        <w:t xml:space="preserve"> </w:t>
      </w:r>
      <w:r w:rsidRPr="00732F7D">
        <w:rPr>
          <w:rFonts w:ascii="Arial" w:eastAsia="Arial" w:hAnsi="Arial" w:cs="Arial"/>
          <w:color w:val="0070C0"/>
        </w:rPr>
        <w:t> </w:t>
      </w:r>
    </w:p>
    <w:p w14:paraId="1C22D79D" w14:textId="77777777" w:rsidR="007C69EE" w:rsidRPr="00732F7D" w:rsidRDefault="007C69EE" w:rsidP="00B510B3">
      <w:pPr>
        <w:rPr>
          <w:rFonts w:ascii="Arial" w:hAnsi="Arial" w:cs="Arial"/>
          <w:color w:val="0070C0"/>
        </w:rPr>
      </w:pPr>
    </w:p>
    <w:p w14:paraId="7FB659C7" w14:textId="77777777" w:rsidR="00B510B3" w:rsidRPr="00732F7D" w:rsidRDefault="00B510B3">
      <w:pPr>
        <w:rPr>
          <w:rFonts w:ascii="Arial" w:eastAsia="Arial" w:hAnsi="Arial" w:cs="Arial"/>
          <w:color w:val="0070C0"/>
        </w:rPr>
      </w:pPr>
      <w:r w:rsidRPr="00732F7D">
        <w:rPr>
          <w:rFonts w:ascii="Arial" w:eastAsia="Arial" w:hAnsi="Arial" w:cs="Arial"/>
          <w:color w:val="0070C0"/>
        </w:rPr>
        <w:t>Note that in paragraph 26 of the Technical Guidance, the Work Programme referred to in the first sentence is that for the Initial Term of a Licence. Where there is an Initial Term, there is an obligation on the Licensees to fulfil the elements of a formal Work Programme.</w:t>
      </w:r>
    </w:p>
    <w:p w14:paraId="119F2CE5" w14:textId="77777777" w:rsidR="00B510B3" w:rsidRPr="00732F7D" w:rsidRDefault="00B510B3">
      <w:pPr>
        <w:rPr>
          <w:rFonts w:ascii="Arial" w:eastAsia="Arial" w:hAnsi="Arial" w:cs="Arial"/>
          <w:color w:val="0070C0"/>
        </w:rPr>
      </w:pPr>
      <w:r w:rsidRPr="00732F7D">
        <w:rPr>
          <w:rFonts w:ascii="Arial" w:eastAsia="Arial" w:hAnsi="Arial" w:cs="Arial"/>
          <w:color w:val="0070C0"/>
        </w:rPr>
        <w:t xml:space="preserve">For the Second Term, the OGA is requesting a programme of work, which is not an obligation, but if no FDP is approved, then the Licence </w:t>
      </w:r>
      <w:proofErr w:type="gramStart"/>
      <w:r w:rsidRPr="00732F7D">
        <w:rPr>
          <w:rFonts w:ascii="Arial" w:eastAsia="Arial" w:hAnsi="Arial" w:cs="Arial"/>
          <w:color w:val="0070C0"/>
        </w:rPr>
        <w:t>will</w:t>
      </w:r>
      <w:proofErr w:type="gramEnd"/>
      <w:r w:rsidRPr="00732F7D">
        <w:rPr>
          <w:rFonts w:ascii="Arial" w:eastAsia="Arial" w:hAnsi="Arial" w:cs="Arial"/>
          <w:color w:val="0070C0"/>
        </w:rPr>
        <w:t xml:space="preserve"> Determine at the end of that Term.  Through stewardship activities, the OGA will monitor the programme of work to ensure that sufficient progress is made on an ongoing basis, and that suitable corrective action is taken as and when necessary.</w:t>
      </w:r>
    </w:p>
    <w:p w14:paraId="2289FB93"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2284FA97" w14:textId="77777777" w:rsidR="00B510B3" w:rsidRPr="00732F7D" w:rsidRDefault="007C69EE">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Q</w:t>
      </w:r>
      <w:r w:rsidR="00840415" w:rsidRPr="00732F7D">
        <w:rPr>
          <w:rFonts w:ascii="Arial" w:eastAsia="Arial" w:hAnsi="Arial" w:cs="Arial"/>
          <w:b/>
          <w:bCs/>
          <w:color w:val="0070C0"/>
        </w:rPr>
        <w:t>9</w:t>
      </w:r>
      <w:r w:rsidR="00B510B3" w:rsidRPr="00732F7D">
        <w:rPr>
          <w:rFonts w:ascii="Arial" w:eastAsia="Arial" w:hAnsi="Arial" w:cs="Arial"/>
          <w:color w:val="0070C0"/>
        </w:rPr>
        <w:t xml:space="preserve">: </w:t>
      </w:r>
      <w:r w:rsidR="00B510B3" w:rsidRPr="00732F7D">
        <w:rPr>
          <w:rFonts w:ascii="Arial" w:eastAsia="Arial" w:hAnsi="Arial" w:cs="Arial"/>
          <w:b/>
          <w:bCs/>
          <w:color w:val="0070C0"/>
        </w:rPr>
        <w:t>Applicants must provide an Appendix C, concerning HSE related aspects. Is an Environmental Sensitivity Assessment required as part of a potential Initial Term Phase A entry license application or can this be delayed until an appropriate time before commencing offshore operations?</w:t>
      </w:r>
      <w:r w:rsidR="00B510B3" w:rsidRPr="00732F7D">
        <w:rPr>
          <w:rFonts w:ascii="Arial" w:eastAsia="Arial" w:hAnsi="Arial" w:cs="Arial"/>
          <w:color w:val="0070C0"/>
        </w:rPr>
        <w:t xml:space="preserve"> </w:t>
      </w:r>
    </w:p>
    <w:p w14:paraId="628E3192" w14:textId="77777777" w:rsidR="007C69EE" w:rsidRPr="00732F7D" w:rsidRDefault="007C69EE" w:rsidP="00B510B3">
      <w:pPr>
        <w:rPr>
          <w:rFonts w:ascii="Arial" w:hAnsi="Arial" w:cs="Arial"/>
          <w:b/>
          <w:color w:val="0070C0"/>
        </w:rPr>
      </w:pPr>
    </w:p>
    <w:p w14:paraId="04108928" w14:textId="77777777" w:rsidR="00B510B3" w:rsidRPr="00732F7D" w:rsidRDefault="00EC5602">
      <w:pPr>
        <w:rPr>
          <w:rFonts w:ascii="Arial" w:eastAsia="Arial" w:hAnsi="Arial" w:cs="Arial"/>
          <w:color w:val="0070C0"/>
        </w:rPr>
      </w:pPr>
      <w:r w:rsidRPr="00732F7D">
        <w:rPr>
          <w:rFonts w:ascii="Arial" w:eastAsia="Arial" w:hAnsi="Arial" w:cs="Arial"/>
          <w:b/>
          <w:bCs/>
          <w:color w:val="0070C0"/>
        </w:rPr>
        <w:t>P</w:t>
      </w:r>
      <w:r w:rsidR="00B510B3" w:rsidRPr="00732F7D">
        <w:rPr>
          <w:rFonts w:ascii="Arial" w:eastAsia="Arial" w:hAnsi="Arial" w:cs="Arial"/>
          <w:b/>
          <w:bCs/>
          <w:color w:val="0070C0"/>
        </w:rPr>
        <w:t>A</w:t>
      </w:r>
      <w:r w:rsidR="00840415" w:rsidRPr="00732F7D">
        <w:rPr>
          <w:rFonts w:ascii="Arial" w:eastAsia="Arial" w:hAnsi="Arial" w:cs="Arial"/>
          <w:b/>
          <w:bCs/>
          <w:color w:val="0070C0"/>
        </w:rPr>
        <w:t>9</w:t>
      </w:r>
      <w:r w:rsidR="00B510B3" w:rsidRPr="00732F7D">
        <w:rPr>
          <w:rFonts w:ascii="Arial" w:eastAsia="Arial" w:hAnsi="Arial" w:cs="Arial"/>
          <w:b/>
          <w:bCs/>
          <w:color w:val="0070C0"/>
        </w:rPr>
        <w:t>:</w:t>
      </w:r>
      <w:r w:rsidR="00B510B3" w:rsidRPr="00732F7D">
        <w:rPr>
          <w:rFonts w:ascii="Arial" w:eastAsia="Arial" w:hAnsi="Arial" w:cs="Arial"/>
          <w:color w:val="0070C0"/>
        </w:rPr>
        <w:t xml:space="preserve"> </w:t>
      </w:r>
      <w:r w:rsidRPr="00732F7D">
        <w:rPr>
          <w:rFonts w:ascii="Arial" w:eastAsia="Arial" w:hAnsi="Arial" w:cs="Arial"/>
          <w:color w:val="0070C0"/>
        </w:rPr>
        <w:t>The</w:t>
      </w:r>
      <w:r w:rsidR="00B510B3" w:rsidRPr="00732F7D">
        <w:rPr>
          <w:rFonts w:ascii="Arial" w:eastAsia="Arial" w:hAnsi="Arial" w:cs="Arial"/>
          <w:color w:val="0070C0"/>
        </w:rPr>
        <w:t xml:space="preserve"> Department for Business, Energy and Industrial Strategy (BEIS)</w:t>
      </w:r>
      <w:r w:rsidRPr="00732F7D">
        <w:rPr>
          <w:rFonts w:ascii="Arial" w:eastAsia="Arial" w:hAnsi="Arial" w:cs="Arial"/>
          <w:color w:val="0070C0"/>
        </w:rPr>
        <w:t xml:space="preserve"> have advised that all applications, including those for just a Phase A, will need to be supported by an environmental sensitivity assessment.  </w:t>
      </w:r>
    </w:p>
    <w:p w14:paraId="096A7237"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53AC61AD" w14:textId="77777777" w:rsidR="00836ABB" w:rsidRPr="00732F7D" w:rsidRDefault="00836ABB">
      <w:pPr>
        <w:rPr>
          <w:rFonts w:ascii="Arial" w:eastAsia="Arial" w:hAnsi="Arial" w:cs="Arial"/>
          <w:b/>
          <w:bCs/>
          <w:color w:val="0070C0"/>
          <w:lang w:val="en-US"/>
        </w:rPr>
      </w:pPr>
      <w:r w:rsidRPr="00732F7D">
        <w:rPr>
          <w:rFonts w:ascii="Arial" w:eastAsia="Arial" w:hAnsi="Arial" w:cs="Arial"/>
          <w:b/>
          <w:bCs/>
          <w:color w:val="0070C0"/>
          <w:lang w:val="en-US"/>
        </w:rPr>
        <w:t>PQ1</w:t>
      </w:r>
      <w:r w:rsidR="00840415" w:rsidRPr="00732F7D">
        <w:rPr>
          <w:rFonts w:ascii="Arial" w:eastAsia="Arial" w:hAnsi="Arial" w:cs="Arial"/>
          <w:b/>
          <w:bCs/>
          <w:color w:val="0070C0"/>
          <w:lang w:val="en-US"/>
        </w:rPr>
        <w:t>0</w:t>
      </w:r>
      <w:r w:rsidRPr="00732F7D">
        <w:rPr>
          <w:rFonts w:ascii="Arial" w:eastAsia="Arial" w:hAnsi="Arial" w:cs="Arial"/>
          <w:b/>
          <w:bCs/>
          <w:color w:val="0070C0"/>
          <w:lang w:val="en-US"/>
        </w:rPr>
        <w:t xml:space="preserve">: Can the OGA further clarify its guidance on the circumstances under which they will accept a well conditional on a well in a </w:t>
      </w:r>
      <w:proofErr w:type="spellStart"/>
      <w:r w:rsidRPr="00732F7D">
        <w:rPr>
          <w:rFonts w:ascii="Arial" w:eastAsia="Arial" w:hAnsi="Arial" w:cs="Arial"/>
          <w:b/>
          <w:bCs/>
          <w:color w:val="0070C0"/>
          <w:lang w:val="en-US"/>
        </w:rPr>
        <w:t>neighbouring</w:t>
      </w:r>
      <w:proofErr w:type="spellEnd"/>
      <w:r w:rsidRPr="00732F7D">
        <w:rPr>
          <w:rFonts w:ascii="Arial" w:eastAsia="Arial" w:hAnsi="Arial" w:cs="Arial"/>
          <w:b/>
          <w:bCs/>
          <w:color w:val="0070C0"/>
          <w:lang w:val="en-US"/>
        </w:rPr>
        <w:t xml:space="preserve"> </w:t>
      </w:r>
      <w:proofErr w:type="spellStart"/>
      <w:r w:rsidRPr="00732F7D">
        <w:rPr>
          <w:rFonts w:ascii="Arial" w:eastAsia="Arial" w:hAnsi="Arial" w:cs="Arial"/>
          <w:b/>
          <w:bCs/>
          <w:color w:val="0070C0"/>
          <w:lang w:val="en-US"/>
        </w:rPr>
        <w:t>licence</w:t>
      </w:r>
      <w:proofErr w:type="spellEnd"/>
      <w:r w:rsidRPr="00732F7D">
        <w:rPr>
          <w:rFonts w:ascii="Arial" w:eastAsia="Arial" w:hAnsi="Arial" w:cs="Arial"/>
          <w:b/>
          <w:bCs/>
          <w:color w:val="0070C0"/>
          <w:lang w:val="en-US"/>
        </w:rPr>
        <w:t xml:space="preserve"> block? </w:t>
      </w:r>
    </w:p>
    <w:p w14:paraId="172BFE72" w14:textId="77777777" w:rsidR="00E518A8" w:rsidRPr="00732F7D" w:rsidRDefault="00E518A8">
      <w:pPr>
        <w:rPr>
          <w:rFonts w:ascii="Arial" w:eastAsia="Arial" w:hAnsi="Arial" w:cs="Arial"/>
          <w:b/>
          <w:bCs/>
          <w:color w:val="0070C0"/>
          <w:lang w:val="en-US"/>
        </w:rPr>
      </w:pPr>
    </w:p>
    <w:p w14:paraId="0DCD11AA" w14:textId="77777777" w:rsidR="00836ABB" w:rsidRPr="00732F7D" w:rsidRDefault="00836ABB">
      <w:pPr>
        <w:rPr>
          <w:rFonts w:ascii="Arial" w:eastAsia="Arial" w:hAnsi="Arial" w:cs="Arial"/>
          <w:color w:val="0070C0"/>
          <w:lang w:val="en-US"/>
        </w:rPr>
      </w:pPr>
      <w:r w:rsidRPr="00732F7D">
        <w:rPr>
          <w:rFonts w:ascii="Arial" w:eastAsia="Arial" w:hAnsi="Arial" w:cs="Arial"/>
          <w:b/>
          <w:bCs/>
          <w:color w:val="0070C0"/>
          <w:lang w:val="en-US"/>
        </w:rPr>
        <w:t>PA1</w:t>
      </w:r>
      <w:r w:rsidR="00840415" w:rsidRPr="00732F7D">
        <w:rPr>
          <w:rFonts w:ascii="Arial" w:eastAsia="Arial" w:hAnsi="Arial" w:cs="Arial"/>
          <w:b/>
          <w:bCs/>
          <w:color w:val="0070C0"/>
          <w:lang w:val="en-US"/>
        </w:rPr>
        <w:t>0</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A Contingent well would be accepted where a clear link can be demonstrated between the dependencies (geological or operational) between adjacent </w:t>
      </w:r>
      <w:proofErr w:type="spellStart"/>
      <w:r w:rsidRPr="00732F7D">
        <w:rPr>
          <w:rFonts w:ascii="Arial" w:eastAsia="Arial" w:hAnsi="Arial" w:cs="Arial"/>
          <w:color w:val="0070C0"/>
          <w:lang w:val="en-US"/>
        </w:rPr>
        <w:t>licences</w:t>
      </w:r>
      <w:proofErr w:type="spellEnd"/>
      <w:r w:rsidRPr="00732F7D">
        <w:rPr>
          <w:rFonts w:ascii="Arial" w:eastAsia="Arial" w:hAnsi="Arial" w:cs="Arial"/>
          <w:color w:val="0070C0"/>
          <w:lang w:val="en-US"/>
        </w:rPr>
        <w:t xml:space="preserve">. For example, if new shoot seismic acquisition was planned where there was insufficient seismic to tie to a well in a nearby Block, or where positive </w:t>
      </w:r>
      <w:proofErr w:type="spellStart"/>
      <w:r w:rsidRPr="00732F7D">
        <w:rPr>
          <w:rFonts w:ascii="Arial" w:eastAsia="Arial" w:hAnsi="Arial" w:cs="Arial"/>
          <w:color w:val="0070C0"/>
          <w:lang w:val="en-US"/>
        </w:rPr>
        <w:t>derisking</w:t>
      </w:r>
      <w:proofErr w:type="spellEnd"/>
      <w:r w:rsidRPr="00732F7D">
        <w:rPr>
          <w:rFonts w:ascii="Arial" w:eastAsia="Arial" w:hAnsi="Arial" w:cs="Arial"/>
          <w:color w:val="0070C0"/>
          <w:lang w:val="en-US"/>
        </w:rPr>
        <w:t xml:space="preserve"> in one well would improve the technical and economic evaluation of a well in the same play segment. </w:t>
      </w:r>
    </w:p>
    <w:p w14:paraId="0F2B6DB8"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101CDFD9" w14:textId="77777777" w:rsidR="00836ABB" w:rsidRPr="00732F7D" w:rsidRDefault="00836ABB">
      <w:pPr>
        <w:rPr>
          <w:rFonts w:ascii="Arial" w:eastAsia="Arial" w:hAnsi="Arial" w:cs="Arial"/>
          <w:b/>
          <w:bCs/>
          <w:color w:val="0070C0"/>
          <w:lang w:val="en-US"/>
        </w:rPr>
      </w:pPr>
      <w:r w:rsidRPr="00732F7D">
        <w:rPr>
          <w:rFonts w:ascii="Arial" w:eastAsia="Arial" w:hAnsi="Arial" w:cs="Arial"/>
          <w:b/>
          <w:bCs/>
          <w:color w:val="0070C0"/>
          <w:lang w:val="en-US"/>
        </w:rPr>
        <w:t>PQ1</w:t>
      </w:r>
      <w:r w:rsidR="00840415" w:rsidRPr="00732F7D">
        <w:rPr>
          <w:rFonts w:ascii="Arial" w:eastAsia="Arial" w:hAnsi="Arial" w:cs="Arial"/>
          <w:b/>
          <w:bCs/>
          <w:color w:val="0070C0"/>
          <w:lang w:val="en-US"/>
        </w:rPr>
        <w:t>1</w:t>
      </w:r>
      <w:r w:rsidRPr="00732F7D">
        <w:rPr>
          <w:rFonts w:ascii="Arial" w:eastAsia="Arial" w:hAnsi="Arial" w:cs="Arial"/>
          <w:b/>
          <w:bCs/>
          <w:color w:val="0070C0"/>
          <w:lang w:val="en-US"/>
        </w:rPr>
        <w:t xml:space="preserve">: Can the OGA further clarify why it would not allow contingent wells based on the results of other wells, should there be a potential outcome that the first well effectively condemns the other? </w:t>
      </w:r>
    </w:p>
    <w:p w14:paraId="3EC43D8E" w14:textId="77777777" w:rsidR="00E518A8" w:rsidRPr="00732F7D" w:rsidRDefault="00E518A8">
      <w:pPr>
        <w:rPr>
          <w:rFonts w:ascii="Arial" w:eastAsia="Arial" w:hAnsi="Arial" w:cs="Arial"/>
          <w:b/>
          <w:bCs/>
          <w:color w:val="0070C0"/>
          <w:lang w:val="en-US"/>
        </w:rPr>
      </w:pPr>
    </w:p>
    <w:p w14:paraId="097A537F" w14:textId="77777777" w:rsidR="00836ABB" w:rsidRPr="00732F7D" w:rsidRDefault="00836ABB">
      <w:pPr>
        <w:rPr>
          <w:rFonts w:ascii="Arial" w:eastAsia="Arial" w:hAnsi="Arial" w:cs="Arial"/>
          <w:color w:val="0070C0"/>
          <w:lang w:val="en-US"/>
        </w:rPr>
      </w:pPr>
      <w:r w:rsidRPr="00732F7D">
        <w:rPr>
          <w:rFonts w:ascii="Arial" w:eastAsia="Arial" w:hAnsi="Arial" w:cs="Arial"/>
          <w:b/>
          <w:bCs/>
          <w:color w:val="0070C0"/>
          <w:lang w:val="en-US"/>
        </w:rPr>
        <w:t>PA1</w:t>
      </w:r>
      <w:r w:rsidR="00840415" w:rsidRPr="00732F7D">
        <w:rPr>
          <w:rFonts w:ascii="Arial" w:eastAsia="Arial" w:hAnsi="Arial" w:cs="Arial"/>
          <w:b/>
          <w:bCs/>
          <w:color w:val="0070C0"/>
          <w:lang w:val="en-US"/>
        </w:rPr>
        <w:t>1</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This only applies where the Contingent well is bid in the same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 xml:space="preserve"> Application as a Firm well. It would therefore be in effect a double bid.  Only one well commitment will be counted per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w:t>
      </w:r>
    </w:p>
    <w:p w14:paraId="34E1D99F" w14:textId="77777777" w:rsidR="00836ABB" w:rsidRPr="00732F7D" w:rsidRDefault="00836ABB">
      <w:pPr>
        <w:jc w:val="center"/>
        <w:rPr>
          <w:rFonts w:ascii="Arial" w:eastAsia="Arial" w:hAnsi="Arial" w:cs="Arial"/>
          <w:color w:val="0070C0"/>
        </w:rPr>
      </w:pPr>
      <w:r w:rsidRPr="00732F7D">
        <w:rPr>
          <w:rFonts w:ascii="Arial" w:eastAsia="Arial" w:hAnsi="Arial" w:cs="Arial"/>
          <w:color w:val="0070C0"/>
        </w:rPr>
        <w:t>---------------------------------------------------------------------</w:t>
      </w:r>
    </w:p>
    <w:p w14:paraId="5766823A" w14:textId="77777777" w:rsidR="00836ABB" w:rsidRPr="00732F7D" w:rsidRDefault="00836ABB">
      <w:pPr>
        <w:rPr>
          <w:rFonts w:ascii="Arial" w:eastAsia="Arial" w:hAnsi="Arial" w:cs="Arial"/>
          <w:b/>
          <w:bCs/>
          <w:color w:val="0070C0"/>
          <w:lang w:val="en-US" w:eastAsia="en-GB"/>
        </w:rPr>
      </w:pPr>
      <w:r w:rsidRPr="00732F7D">
        <w:rPr>
          <w:rFonts w:ascii="Arial" w:eastAsia="Arial" w:hAnsi="Arial" w:cs="Arial"/>
          <w:b/>
          <w:bCs/>
          <w:color w:val="0070C0"/>
          <w:lang w:val="en-US"/>
        </w:rPr>
        <w:t>PQ1</w:t>
      </w:r>
      <w:r w:rsidR="00840415" w:rsidRPr="00732F7D">
        <w:rPr>
          <w:rFonts w:ascii="Arial" w:eastAsia="Arial" w:hAnsi="Arial" w:cs="Arial"/>
          <w:b/>
          <w:bCs/>
          <w:color w:val="0070C0"/>
          <w:lang w:val="en-US"/>
        </w:rPr>
        <w:t>2</w:t>
      </w:r>
      <w:r w:rsidRPr="00732F7D">
        <w:rPr>
          <w:rFonts w:ascii="Arial" w:eastAsia="Arial" w:hAnsi="Arial" w:cs="Arial"/>
          <w:b/>
          <w:bCs/>
          <w:color w:val="0070C0"/>
          <w:lang w:val="en-US"/>
        </w:rPr>
        <w:t>:</w:t>
      </w:r>
      <w:r w:rsidRPr="00732F7D">
        <w:rPr>
          <w:rFonts w:ascii="Arial" w:eastAsia="Arial" w:hAnsi="Arial" w:cs="Arial"/>
          <w:color w:val="0070C0"/>
          <w:lang w:val="en-US"/>
        </w:rPr>
        <w:t xml:space="preserve"> </w:t>
      </w:r>
      <w:r w:rsidRPr="00732F7D">
        <w:rPr>
          <w:rFonts w:ascii="Arial" w:eastAsia="Arial" w:hAnsi="Arial" w:cs="Arial"/>
          <w:b/>
          <w:bCs/>
          <w:color w:val="0070C0"/>
          <w:lang w:val="en-US"/>
        </w:rPr>
        <w:t>Can OGA please confirm how it will protect the confidentiality of technology</w:t>
      </w:r>
      <w:r w:rsidRPr="00732F7D">
        <w:rPr>
          <w:rFonts w:ascii="Arial" w:eastAsia="Arial" w:hAnsi="Arial" w:cs="Arial"/>
          <w:b/>
          <w:bCs/>
          <w:color w:val="0070C0"/>
          <w:lang w:val="en-US" w:eastAsia="en-GB"/>
        </w:rPr>
        <w:t xml:space="preserve"> plans and seismic processing technologies as expressed in Appendices B and arising from interviews?</w:t>
      </w:r>
    </w:p>
    <w:p w14:paraId="129EC044" w14:textId="77777777" w:rsidR="00840415" w:rsidRPr="00732F7D" w:rsidRDefault="00840415">
      <w:pPr>
        <w:rPr>
          <w:rFonts w:ascii="Arial" w:eastAsia="Arial" w:hAnsi="Arial" w:cs="Arial"/>
          <w:b/>
          <w:bCs/>
          <w:color w:val="0070C0"/>
          <w:lang w:val="en-US" w:eastAsia="en-GB"/>
        </w:rPr>
      </w:pPr>
    </w:p>
    <w:p w14:paraId="6F42B855" w14:textId="77777777" w:rsidR="00836ABB" w:rsidRPr="00732F7D" w:rsidRDefault="00836ABB">
      <w:pPr>
        <w:rPr>
          <w:rFonts w:ascii="Arial" w:eastAsia="Arial" w:hAnsi="Arial" w:cs="Arial"/>
          <w:color w:val="0070C0"/>
          <w:lang w:eastAsia="en-GB"/>
        </w:rPr>
      </w:pPr>
      <w:r w:rsidRPr="00732F7D">
        <w:rPr>
          <w:rFonts w:ascii="Arial" w:eastAsia="Arial" w:hAnsi="Arial" w:cs="Arial"/>
          <w:b/>
          <w:bCs/>
          <w:color w:val="0070C0"/>
          <w:lang w:val="en-US"/>
        </w:rPr>
        <w:t>PA1</w:t>
      </w:r>
      <w:r w:rsidR="00840415" w:rsidRPr="00732F7D">
        <w:rPr>
          <w:rFonts w:ascii="Arial" w:eastAsia="Arial" w:hAnsi="Arial" w:cs="Arial"/>
          <w:b/>
          <w:bCs/>
          <w:color w:val="0070C0"/>
          <w:lang w:val="en-US"/>
        </w:rPr>
        <w:t>2</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The OGA only publishes Work </w:t>
      </w:r>
      <w:proofErr w:type="spellStart"/>
      <w:r w:rsidRPr="00732F7D">
        <w:rPr>
          <w:rFonts w:ascii="Arial" w:eastAsia="Arial" w:hAnsi="Arial" w:cs="Arial"/>
          <w:color w:val="0070C0"/>
          <w:lang w:val="en-US"/>
        </w:rPr>
        <w:t>Programmes</w:t>
      </w:r>
      <w:proofErr w:type="spellEnd"/>
      <w:r w:rsidRPr="00732F7D">
        <w:rPr>
          <w:rFonts w:ascii="Arial" w:eastAsia="Arial" w:hAnsi="Arial" w:cs="Arial"/>
          <w:color w:val="0070C0"/>
          <w:lang w:val="en-US"/>
        </w:rPr>
        <w:t xml:space="preserve"> of successful Applications when a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 xml:space="preserve"> becomes extant. Those Work </w:t>
      </w:r>
      <w:proofErr w:type="spellStart"/>
      <w:r w:rsidRPr="00732F7D">
        <w:rPr>
          <w:rFonts w:ascii="Arial" w:eastAsia="Arial" w:hAnsi="Arial" w:cs="Arial"/>
          <w:color w:val="0070C0"/>
          <w:lang w:val="en-US"/>
        </w:rPr>
        <w:t>Programmes</w:t>
      </w:r>
      <w:proofErr w:type="spellEnd"/>
      <w:r w:rsidRPr="00732F7D">
        <w:rPr>
          <w:rFonts w:ascii="Arial" w:eastAsia="Arial" w:hAnsi="Arial" w:cs="Arial"/>
          <w:color w:val="0070C0"/>
          <w:lang w:val="en-US"/>
        </w:rPr>
        <w:t xml:space="preserve"> are usually generic rather than specific so details of technology plans and seismic processing technologies will not be released. All commercially sensitive documentation provided to the OGA should be clearly marked as such so that the OGA can apply the relevant IT policies to protect the applicant’s intellectual property.</w:t>
      </w:r>
    </w:p>
    <w:p w14:paraId="6DA68797" w14:textId="77777777" w:rsidR="00836ABB" w:rsidRPr="00732F7D" w:rsidRDefault="00836ABB">
      <w:pPr>
        <w:jc w:val="center"/>
        <w:rPr>
          <w:rFonts w:ascii="Arial" w:eastAsia="Arial" w:hAnsi="Arial" w:cs="Arial"/>
          <w:color w:val="0070C0"/>
        </w:rPr>
      </w:pPr>
      <w:r w:rsidRPr="00732F7D">
        <w:rPr>
          <w:rFonts w:ascii="Arial" w:eastAsia="Arial" w:hAnsi="Arial" w:cs="Arial"/>
          <w:color w:val="0070C0"/>
        </w:rPr>
        <w:t>---------------------------------------------------------------------</w:t>
      </w:r>
    </w:p>
    <w:p w14:paraId="28ACAFA8" w14:textId="77777777" w:rsidR="00836ABB" w:rsidRPr="00732F7D" w:rsidRDefault="00836ABB">
      <w:pPr>
        <w:rPr>
          <w:rFonts w:ascii="Arial" w:eastAsia="Arial" w:hAnsi="Arial" w:cs="Arial"/>
          <w:color w:val="0070C0"/>
          <w:lang w:val="en-US" w:eastAsia="en-GB"/>
        </w:rPr>
      </w:pPr>
      <w:r w:rsidRPr="00732F7D">
        <w:rPr>
          <w:rFonts w:ascii="Arial" w:eastAsia="Arial" w:hAnsi="Arial" w:cs="Arial"/>
          <w:b/>
          <w:bCs/>
          <w:color w:val="0070C0"/>
          <w:lang w:val="en-US" w:eastAsia="en-GB"/>
        </w:rPr>
        <w:lastRenderedPageBreak/>
        <w:t>PQ1</w:t>
      </w:r>
      <w:r w:rsidR="00840415" w:rsidRPr="00732F7D">
        <w:rPr>
          <w:rFonts w:ascii="Arial" w:eastAsia="Arial" w:hAnsi="Arial" w:cs="Arial"/>
          <w:b/>
          <w:bCs/>
          <w:color w:val="0070C0"/>
          <w:lang w:val="en-US" w:eastAsia="en-GB"/>
        </w:rPr>
        <w:t>3</w:t>
      </w:r>
      <w:r w:rsidRPr="00732F7D">
        <w:rPr>
          <w:rFonts w:ascii="Arial" w:eastAsia="Arial" w:hAnsi="Arial" w:cs="Arial"/>
          <w:b/>
          <w:bCs/>
          <w:color w:val="0070C0"/>
          <w:lang w:val="en-US" w:eastAsia="en-GB"/>
        </w:rPr>
        <w:t xml:space="preserve">: What is the mechanism for the Licensee dropping the </w:t>
      </w:r>
      <w:proofErr w:type="spellStart"/>
      <w:r w:rsidRPr="00732F7D">
        <w:rPr>
          <w:rFonts w:ascii="Arial" w:eastAsia="Arial" w:hAnsi="Arial" w:cs="Arial"/>
          <w:b/>
          <w:bCs/>
          <w:color w:val="0070C0"/>
          <w:lang w:val="en-US" w:eastAsia="en-GB"/>
        </w:rPr>
        <w:t>licence</w:t>
      </w:r>
      <w:proofErr w:type="spellEnd"/>
      <w:r w:rsidRPr="00732F7D">
        <w:rPr>
          <w:rFonts w:ascii="Arial" w:eastAsia="Arial" w:hAnsi="Arial" w:cs="Arial"/>
          <w:b/>
          <w:bCs/>
          <w:color w:val="0070C0"/>
          <w:lang w:val="en-US" w:eastAsia="en-GB"/>
        </w:rPr>
        <w:t xml:space="preserve"> between Phases of the Initial Term. For instance, if the licensee does not see sufficient potential after Phase A, are they able to relinquish the </w:t>
      </w:r>
      <w:proofErr w:type="spellStart"/>
      <w:r w:rsidRPr="00732F7D">
        <w:rPr>
          <w:rFonts w:ascii="Arial" w:eastAsia="Arial" w:hAnsi="Arial" w:cs="Arial"/>
          <w:b/>
          <w:bCs/>
          <w:color w:val="0070C0"/>
          <w:lang w:val="en-US" w:eastAsia="en-GB"/>
        </w:rPr>
        <w:t>licence</w:t>
      </w:r>
      <w:proofErr w:type="spellEnd"/>
      <w:r w:rsidRPr="00732F7D">
        <w:rPr>
          <w:rFonts w:ascii="Arial" w:eastAsia="Arial" w:hAnsi="Arial" w:cs="Arial"/>
          <w:b/>
          <w:bCs/>
          <w:color w:val="0070C0"/>
          <w:lang w:val="en-US" w:eastAsia="en-GB"/>
        </w:rPr>
        <w:t xml:space="preserve"> at that stage, before committing to seismic acquisition in Phase B? Considering the points system then, is seismic acquisition within the Geotechnical work </w:t>
      </w:r>
      <w:proofErr w:type="spellStart"/>
      <w:r w:rsidRPr="00732F7D">
        <w:rPr>
          <w:rFonts w:ascii="Arial" w:eastAsia="Arial" w:hAnsi="Arial" w:cs="Arial"/>
          <w:b/>
          <w:bCs/>
          <w:color w:val="0070C0"/>
          <w:lang w:val="en-US" w:eastAsia="en-GB"/>
        </w:rPr>
        <w:t>programme</w:t>
      </w:r>
      <w:proofErr w:type="spellEnd"/>
      <w:r w:rsidRPr="00732F7D">
        <w:rPr>
          <w:rFonts w:ascii="Arial" w:eastAsia="Arial" w:hAnsi="Arial" w:cs="Arial"/>
          <w:b/>
          <w:bCs/>
          <w:color w:val="0070C0"/>
          <w:lang w:val="en-US" w:eastAsia="en-GB"/>
        </w:rPr>
        <w:t xml:space="preserve"> considered to be ‘committed’, or does an applicant win points for including seismic in Phase B, even though the </w:t>
      </w:r>
      <w:proofErr w:type="spellStart"/>
      <w:r w:rsidRPr="00732F7D">
        <w:rPr>
          <w:rFonts w:ascii="Arial" w:eastAsia="Arial" w:hAnsi="Arial" w:cs="Arial"/>
          <w:b/>
          <w:bCs/>
          <w:color w:val="0070C0"/>
          <w:lang w:val="en-US" w:eastAsia="en-GB"/>
        </w:rPr>
        <w:t>licence</w:t>
      </w:r>
      <w:proofErr w:type="spellEnd"/>
      <w:r w:rsidRPr="00732F7D">
        <w:rPr>
          <w:rFonts w:ascii="Arial" w:eastAsia="Arial" w:hAnsi="Arial" w:cs="Arial"/>
          <w:b/>
          <w:bCs/>
          <w:color w:val="0070C0"/>
          <w:lang w:val="en-US" w:eastAsia="en-GB"/>
        </w:rPr>
        <w:t xml:space="preserve"> can be dropped after Phase A?</w:t>
      </w:r>
    </w:p>
    <w:p w14:paraId="03DB86FE" w14:textId="77777777" w:rsidR="00836ABB" w:rsidRPr="00732F7D" w:rsidRDefault="00836ABB" w:rsidP="00836ABB">
      <w:pPr>
        <w:rPr>
          <w:rFonts w:ascii="Arial" w:hAnsi="Arial" w:cs="Arial"/>
          <w:color w:val="0070C0"/>
          <w:lang w:val="en-US" w:eastAsia="en-GB"/>
        </w:rPr>
      </w:pPr>
    </w:p>
    <w:p w14:paraId="17D67247" w14:textId="77777777" w:rsidR="00836ABB" w:rsidRPr="00732F7D" w:rsidRDefault="00836ABB">
      <w:pPr>
        <w:rPr>
          <w:rFonts w:ascii="Arial" w:eastAsia="Arial" w:hAnsi="Arial" w:cs="Arial"/>
          <w:color w:val="0070C0"/>
          <w:lang w:val="en-US" w:eastAsia="en-GB"/>
        </w:rPr>
      </w:pPr>
      <w:r w:rsidRPr="00732F7D">
        <w:rPr>
          <w:rFonts w:ascii="Arial" w:eastAsia="Arial" w:hAnsi="Arial" w:cs="Arial"/>
          <w:b/>
          <w:bCs/>
          <w:color w:val="0070C0"/>
          <w:lang w:val="en-US" w:eastAsia="en-GB"/>
        </w:rPr>
        <w:t>PA1</w:t>
      </w:r>
      <w:r w:rsidR="00840415" w:rsidRPr="00732F7D">
        <w:rPr>
          <w:rFonts w:ascii="Arial" w:eastAsia="Arial" w:hAnsi="Arial" w:cs="Arial"/>
          <w:b/>
          <w:bCs/>
          <w:color w:val="0070C0"/>
          <w:lang w:val="en-US" w:eastAsia="en-GB"/>
        </w:rPr>
        <w:t>3</w:t>
      </w:r>
      <w:r w:rsidRPr="00732F7D">
        <w:rPr>
          <w:rFonts w:ascii="Arial" w:eastAsia="Arial" w:hAnsi="Arial" w:cs="Arial"/>
          <w:b/>
          <w:bCs/>
          <w:color w:val="0070C0"/>
          <w:lang w:val="en-US" w:eastAsia="en-GB"/>
        </w:rPr>
        <w:t xml:space="preserve">: </w:t>
      </w:r>
      <w:r w:rsidRPr="00732F7D">
        <w:rPr>
          <w:rFonts w:ascii="Arial" w:eastAsia="Arial" w:hAnsi="Arial" w:cs="Arial"/>
          <w:color w:val="0070C0"/>
          <w:lang w:val="en-US" w:eastAsia="en-GB"/>
        </w:rPr>
        <w:t xml:space="preserve">An Applicant for a Phase </w:t>
      </w:r>
      <w:proofErr w:type="gramStart"/>
      <w:r w:rsidRPr="00732F7D">
        <w:rPr>
          <w:rFonts w:ascii="Arial" w:eastAsia="Arial" w:hAnsi="Arial" w:cs="Arial"/>
          <w:color w:val="0070C0"/>
          <w:lang w:val="en-US" w:eastAsia="en-GB"/>
        </w:rPr>
        <w:t>A</w:t>
      </w:r>
      <w:proofErr w:type="gramEnd"/>
      <w:r w:rsidRPr="00732F7D">
        <w:rPr>
          <w:rFonts w:ascii="Arial" w:eastAsia="Arial" w:hAnsi="Arial" w:cs="Arial"/>
          <w:color w:val="0070C0"/>
          <w:lang w:val="en-US" w:eastAsia="en-GB"/>
        </w:rPr>
        <w:t xml:space="preserve"> Innovate </w:t>
      </w:r>
      <w:proofErr w:type="spellStart"/>
      <w:r w:rsidRPr="00732F7D">
        <w:rPr>
          <w:rFonts w:ascii="Arial" w:eastAsia="Arial" w:hAnsi="Arial" w:cs="Arial"/>
          <w:color w:val="0070C0"/>
          <w:lang w:val="en-US" w:eastAsia="en-GB"/>
        </w:rPr>
        <w:t>Licence</w:t>
      </w:r>
      <w:proofErr w:type="spellEnd"/>
      <w:r w:rsidRPr="00732F7D">
        <w:rPr>
          <w:rFonts w:ascii="Arial" w:eastAsia="Arial" w:hAnsi="Arial" w:cs="Arial"/>
          <w:color w:val="0070C0"/>
          <w:lang w:val="en-US" w:eastAsia="en-GB"/>
        </w:rPr>
        <w:t xml:space="preserve"> who fulfills the Work </w:t>
      </w:r>
      <w:proofErr w:type="spellStart"/>
      <w:r w:rsidRPr="00732F7D">
        <w:rPr>
          <w:rFonts w:ascii="Arial" w:eastAsia="Arial" w:hAnsi="Arial" w:cs="Arial"/>
          <w:color w:val="0070C0"/>
          <w:lang w:val="en-US" w:eastAsia="en-GB"/>
        </w:rPr>
        <w:t>Programme</w:t>
      </w:r>
      <w:proofErr w:type="spellEnd"/>
      <w:r w:rsidRPr="00732F7D">
        <w:rPr>
          <w:rFonts w:ascii="Arial" w:eastAsia="Arial" w:hAnsi="Arial" w:cs="Arial"/>
          <w:color w:val="0070C0"/>
          <w:lang w:val="en-US" w:eastAsia="en-GB"/>
        </w:rPr>
        <w:t xml:space="preserve"> for that Phase need not continue the </w:t>
      </w:r>
      <w:proofErr w:type="spellStart"/>
      <w:r w:rsidRPr="00732F7D">
        <w:rPr>
          <w:rFonts w:ascii="Arial" w:eastAsia="Arial" w:hAnsi="Arial" w:cs="Arial"/>
          <w:color w:val="0070C0"/>
          <w:lang w:val="en-US" w:eastAsia="en-GB"/>
        </w:rPr>
        <w:t>Licence</w:t>
      </w:r>
      <w:proofErr w:type="spellEnd"/>
      <w:r w:rsidRPr="00732F7D">
        <w:rPr>
          <w:rFonts w:ascii="Arial" w:eastAsia="Arial" w:hAnsi="Arial" w:cs="Arial"/>
          <w:color w:val="0070C0"/>
          <w:lang w:val="en-US" w:eastAsia="en-GB"/>
        </w:rPr>
        <w:t xml:space="preserve"> into Phase B if the evidence does not support further work. A discussion will take place as necessary with the OGA towards the end of each Phase to determine </w:t>
      </w:r>
      <w:proofErr w:type="gramStart"/>
      <w:r w:rsidRPr="00732F7D">
        <w:rPr>
          <w:rFonts w:ascii="Arial" w:eastAsia="Arial" w:hAnsi="Arial" w:cs="Arial"/>
          <w:color w:val="0070C0"/>
          <w:lang w:val="en-US" w:eastAsia="en-GB"/>
        </w:rPr>
        <w:t>whether or not</w:t>
      </w:r>
      <w:proofErr w:type="gramEnd"/>
      <w:r w:rsidRPr="00732F7D">
        <w:rPr>
          <w:rFonts w:ascii="Arial" w:eastAsia="Arial" w:hAnsi="Arial" w:cs="Arial"/>
          <w:color w:val="0070C0"/>
          <w:lang w:val="en-US" w:eastAsia="en-GB"/>
        </w:rPr>
        <w:t xml:space="preserve"> the Licensees wish the </w:t>
      </w:r>
      <w:proofErr w:type="spellStart"/>
      <w:r w:rsidRPr="00732F7D">
        <w:rPr>
          <w:rFonts w:ascii="Arial" w:eastAsia="Arial" w:hAnsi="Arial" w:cs="Arial"/>
          <w:color w:val="0070C0"/>
          <w:lang w:val="en-US" w:eastAsia="en-GB"/>
        </w:rPr>
        <w:t>Licence</w:t>
      </w:r>
      <w:proofErr w:type="spellEnd"/>
      <w:r w:rsidRPr="00732F7D">
        <w:rPr>
          <w:rFonts w:ascii="Arial" w:eastAsia="Arial" w:hAnsi="Arial" w:cs="Arial"/>
          <w:color w:val="0070C0"/>
          <w:lang w:val="en-US" w:eastAsia="en-GB"/>
        </w:rPr>
        <w:t xml:space="preserve"> to continue into the next phase, and if so what the actual </w:t>
      </w:r>
      <w:proofErr w:type="spellStart"/>
      <w:r w:rsidRPr="00732F7D">
        <w:rPr>
          <w:rFonts w:ascii="Arial" w:eastAsia="Arial" w:hAnsi="Arial" w:cs="Arial"/>
          <w:color w:val="0070C0"/>
          <w:lang w:val="en-US" w:eastAsia="en-GB"/>
        </w:rPr>
        <w:t>programme</w:t>
      </w:r>
      <w:proofErr w:type="spellEnd"/>
      <w:r w:rsidRPr="00732F7D">
        <w:rPr>
          <w:rFonts w:ascii="Arial" w:eastAsia="Arial" w:hAnsi="Arial" w:cs="Arial"/>
          <w:color w:val="0070C0"/>
          <w:lang w:val="en-US" w:eastAsia="en-GB"/>
        </w:rPr>
        <w:t xml:space="preserve"> of work will be.  Entry to Phase C will be on the premise of a Firm well only.</w:t>
      </w:r>
    </w:p>
    <w:p w14:paraId="18EAC385" w14:textId="77777777" w:rsidR="00836ABB" w:rsidRPr="00732F7D" w:rsidRDefault="00836ABB">
      <w:pPr>
        <w:rPr>
          <w:rFonts w:ascii="Arial" w:eastAsia="Arial" w:hAnsi="Arial" w:cs="Arial"/>
          <w:color w:val="0070C0"/>
          <w:lang w:val="en-US" w:eastAsia="en-GB"/>
        </w:rPr>
      </w:pPr>
      <w:r w:rsidRPr="00732F7D">
        <w:rPr>
          <w:rFonts w:ascii="Arial" w:eastAsia="Arial" w:hAnsi="Arial" w:cs="Arial"/>
          <w:color w:val="0070C0"/>
          <w:lang w:val="en-US" w:eastAsia="en-GB"/>
        </w:rPr>
        <w:t xml:space="preserve">If Contingent seismic is indicated where the start Phase is Phase A, the discussion indicated above will determine whether the </w:t>
      </w:r>
      <w:proofErr w:type="spellStart"/>
      <w:r w:rsidRPr="00732F7D">
        <w:rPr>
          <w:rFonts w:ascii="Arial" w:eastAsia="Arial" w:hAnsi="Arial" w:cs="Arial"/>
          <w:color w:val="0070C0"/>
          <w:lang w:val="en-US" w:eastAsia="en-GB"/>
        </w:rPr>
        <w:t>Licence</w:t>
      </w:r>
      <w:proofErr w:type="spellEnd"/>
      <w:r w:rsidRPr="00732F7D">
        <w:rPr>
          <w:rFonts w:ascii="Arial" w:eastAsia="Arial" w:hAnsi="Arial" w:cs="Arial"/>
          <w:color w:val="0070C0"/>
          <w:lang w:val="en-US" w:eastAsia="en-GB"/>
        </w:rPr>
        <w:t xml:space="preserve"> would continue into Phase B with the Contingent Seismic, which at that point would become Firm. Whether an Applicant wins points for including seismic in Phase B, even though the </w:t>
      </w:r>
      <w:proofErr w:type="spellStart"/>
      <w:r w:rsidRPr="00732F7D">
        <w:rPr>
          <w:rFonts w:ascii="Arial" w:eastAsia="Arial" w:hAnsi="Arial" w:cs="Arial"/>
          <w:color w:val="0070C0"/>
          <w:lang w:val="en-US" w:eastAsia="en-GB"/>
        </w:rPr>
        <w:t>Licence</w:t>
      </w:r>
      <w:proofErr w:type="spellEnd"/>
      <w:r w:rsidRPr="00732F7D">
        <w:rPr>
          <w:rFonts w:ascii="Arial" w:eastAsia="Arial" w:hAnsi="Arial" w:cs="Arial"/>
          <w:color w:val="0070C0"/>
          <w:lang w:val="en-US" w:eastAsia="en-GB"/>
        </w:rPr>
        <w:t xml:space="preserve"> can be dropped in Phase A, has been answered previously. </w:t>
      </w:r>
    </w:p>
    <w:p w14:paraId="015B81DD" w14:textId="77777777" w:rsidR="00836ABB" w:rsidRPr="00732F7D" w:rsidRDefault="00836ABB">
      <w:pPr>
        <w:jc w:val="center"/>
        <w:rPr>
          <w:rFonts w:ascii="Arial" w:eastAsia="Arial" w:hAnsi="Arial" w:cs="Arial"/>
          <w:color w:val="0070C0"/>
        </w:rPr>
      </w:pPr>
      <w:r w:rsidRPr="00732F7D">
        <w:rPr>
          <w:rFonts w:ascii="Arial" w:eastAsia="Arial" w:hAnsi="Arial" w:cs="Arial"/>
          <w:color w:val="0070C0"/>
        </w:rPr>
        <w:t>---------------------------------------------------------------------</w:t>
      </w:r>
    </w:p>
    <w:p w14:paraId="2E91A5C5" w14:textId="77777777" w:rsidR="00836ABB" w:rsidRPr="00732F7D" w:rsidRDefault="00836ABB">
      <w:pPr>
        <w:pStyle w:val="PlainText"/>
        <w:rPr>
          <w:rFonts w:ascii="Arial" w:eastAsia="Arial" w:hAnsi="Arial" w:cs="Arial"/>
          <w:b/>
          <w:bCs/>
          <w:color w:val="0070C0"/>
        </w:rPr>
      </w:pPr>
      <w:r w:rsidRPr="00732F7D">
        <w:rPr>
          <w:rFonts w:ascii="Arial" w:eastAsia="Arial" w:hAnsi="Arial" w:cs="Arial"/>
          <w:b/>
          <w:bCs/>
          <w:color w:val="0070C0"/>
        </w:rPr>
        <w:t>PQ1</w:t>
      </w:r>
      <w:r w:rsidR="007E0A6B" w:rsidRPr="00732F7D">
        <w:rPr>
          <w:rFonts w:ascii="Arial" w:eastAsia="Arial" w:hAnsi="Arial" w:cs="Arial"/>
          <w:b/>
          <w:bCs/>
          <w:color w:val="0070C0"/>
        </w:rPr>
        <w:t>4</w:t>
      </w:r>
      <w:r w:rsidRPr="00732F7D">
        <w:rPr>
          <w:rFonts w:ascii="Arial" w:eastAsia="Arial" w:hAnsi="Arial" w:cs="Arial"/>
          <w:b/>
          <w:bCs/>
          <w:color w:val="0070C0"/>
        </w:rPr>
        <w:t>:</w:t>
      </w:r>
      <w:r w:rsidRPr="00732F7D">
        <w:rPr>
          <w:rFonts w:ascii="Arial" w:eastAsia="Arial" w:hAnsi="Arial" w:cs="Arial"/>
          <w:color w:val="0070C0"/>
        </w:rPr>
        <w:t xml:space="preserve"> </w:t>
      </w:r>
      <w:r w:rsidRPr="00732F7D">
        <w:rPr>
          <w:rFonts w:ascii="Arial" w:eastAsia="Arial" w:hAnsi="Arial" w:cs="Arial"/>
          <w:b/>
          <w:bCs/>
          <w:color w:val="0070C0"/>
        </w:rPr>
        <w:t>The Q&amp;A (PA</w:t>
      </w:r>
      <w:r w:rsidR="007E0A6B" w:rsidRPr="00732F7D">
        <w:rPr>
          <w:rFonts w:ascii="Arial" w:eastAsia="Arial" w:hAnsi="Arial" w:cs="Arial"/>
          <w:b/>
          <w:bCs/>
          <w:color w:val="0070C0"/>
        </w:rPr>
        <w:t>3</w:t>
      </w:r>
      <w:r w:rsidRPr="00732F7D">
        <w:rPr>
          <w:rFonts w:ascii="Arial" w:eastAsia="Arial" w:hAnsi="Arial" w:cs="Arial"/>
          <w:b/>
          <w:bCs/>
          <w:color w:val="0070C0"/>
        </w:rPr>
        <w:t xml:space="preserve">), on whether a contingent well attracts marks, appears somewhat inconsistent. It states that a contingent well will not attract any actual Marks directly as the financial capacity to drill will not have been considered. </w:t>
      </w:r>
      <w:proofErr w:type="gramStart"/>
      <w:r w:rsidRPr="00732F7D">
        <w:rPr>
          <w:rFonts w:ascii="Arial" w:eastAsia="Arial" w:hAnsi="Arial" w:cs="Arial"/>
          <w:b/>
          <w:bCs/>
          <w:color w:val="0070C0"/>
        </w:rPr>
        <w:t>However</w:t>
      </w:r>
      <w:proofErr w:type="gramEnd"/>
      <w:r w:rsidRPr="00732F7D">
        <w:rPr>
          <w:rFonts w:ascii="Arial" w:eastAsia="Arial" w:hAnsi="Arial" w:cs="Arial"/>
          <w:b/>
          <w:bCs/>
          <w:color w:val="0070C0"/>
        </w:rPr>
        <w:t xml:space="preserve"> it goes on to say that marks will be attracted where a contingent well is considered as part of the phase A/B timing commitment. Why does a lack of financial capacity consideration rule out one form of assessment but not the other? </w:t>
      </w:r>
    </w:p>
    <w:p w14:paraId="24915009" w14:textId="77777777" w:rsidR="00836ABB" w:rsidRPr="00732F7D" w:rsidRDefault="00836ABB" w:rsidP="00836ABB">
      <w:pPr>
        <w:pStyle w:val="PlainText"/>
        <w:rPr>
          <w:rFonts w:ascii="Arial" w:hAnsi="Arial" w:cs="Arial"/>
          <w:color w:val="0070C0"/>
        </w:rPr>
      </w:pPr>
    </w:p>
    <w:p w14:paraId="75B82399" w14:textId="77777777" w:rsidR="00836ABB" w:rsidRPr="00732F7D" w:rsidRDefault="00836ABB">
      <w:pPr>
        <w:pStyle w:val="PlainText"/>
        <w:rPr>
          <w:rFonts w:ascii="Arial" w:eastAsia="Arial" w:hAnsi="Arial" w:cs="Arial"/>
          <w:color w:val="0070C0"/>
        </w:rPr>
      </w:pPr>
      <w:r w:rsidRPr="00732F7D">
        <w:rPr>
          <w:rFonts w:ascii="Arial" w:eastAsia="Arial" w:hAnsi="Arial" w:cs="Arial"/>
          <w:b/>
          <w:bCs/>
          <w:color w:val="0070C0"/>
        </w:rPr>
        <w:t>PA1</w:t>
      </w:r>
      <w:r w:rsidR="007E0A6B" w:rsidRPr="00732F7D">
        <w:rPr>
          <w:rFonts w:ascii="Arial" w:eastAsia="Arial" w:hAnsi="Arial" w:cs="Arial"/>
          <w:b/>
          <w:bCs/>
          <w:color w:val="0070C0"/>
        </w:rPr>
        <w:t>4</w:t>
      </w:r>
      <w:r w:rsidRPr="00732F7D">
        <w:rPr>
          <w:rFonts w:ascii="Arial" w:eastAsia="Arial" w:hAnsi="Arial" w:cs="Arial"/>
          <w:b/>
          <w:bCs/>
          <w:color w:val="0070C0"/>
        </w:rPr>
        <w:t xml:space="preserve">: </w:t>
      </w:r>
      <w:r w:rsidRPr="00732F7D">
        <w:rPr>
          <w:rFonts w:ascii="Arial" w:eastAsia="Arial" w:hAnsi="Arial" w:cs="Arial"/>
          <w:color w:val="0070C0"/>
        </w:rPr>
        <w:t xml:space="preserve">A Contingent well suggested where the start Phase is Phase A will not attract Marks. Where the Start Phase is Phase B, Financial viability will be checked for the new shoot seismic which, by definition, requires a Contingent well to be committed such that the OGA makes the decision at the end of Phase B as to whether a well is drilled but the Financial capability to </w:t>
      </w:r>
      <w:proofErr w:type="gramStart"/>
      <w:r w:rsidRPr="00732F7D">
        <w:rPr>
          <w:rFonts w:ascii="Arial" w:eastAsia="Arial" w:hAnsi="Arial" w:cs="Arial"/>
          <w:color w:val="0070C0"/>
        </w:rPr>
        <w:t>actually drill</w:t>
      </w:r>
      <w:proofErr w:type="gramEnd"/>
      <w:r w:rsidRPr="00732F7D">
        <w:rPr>
          <w:rFonts w:ascii="Arial" w:eastAsia="Arial" w:hAnsi="Arial" w:cs="Arial"/>
          <w:color w:val="0070C0"/>
        </w:rPr>
        <w:t xml:space="preserve"> the well will not be assessed going from Phase A to Phase B. Towards the end of Phase B, discussion will take place with the OGA as to whether a well will be drilled or not. A waiver on Technical grounds may be sought, or commercial criteria applied if a prospect remains but is not considered economic to drill. If neither of those criteria are proven then the OGA would expect the Licence to move into Phase C with a Firm well.</w:t>
      </w:r>
    </w:p>
    <w:p w14:paraId="343AA13A"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4847FADF" w14:textId="77777777" w:rsidR="00836ABB" w:rsidRPr="00732F7D" w:rsidRDefault="00836ABB">
      <w:pPr>
        <w:pStyle w:val="PlainText"/>
        <w:rPr>
          <w:rFonts w:ascii="Arial" w:eastAsia="Arial" w:hAnsi="Arial" w:cs="Arial"/>
          <w:b/>
          <w:bCs/>
          <w:color w:val="0070C0"/>
        </w:rPr>
      </w:pPr>
      <w:r w:rsidRPr="00732F7D">
        <w:rPr>
          <w:rFonts w:ascii="Arial" w:eastAsia="Arial" w:hAnsi="Arial" w:cs="Arial"/>
          <w:b/>
          <w:bCs/>
          <w:color w:val="0070C0"/>
        </w:rPr>
        <w:t>PQ1</w:t>
      </w:r>
      <w:r w:rsidR="007E0A6B" w:rsidRPr="00732F7D">
        <w:rPr>
          <w:rFonts w:ascii="Arial" w:eastAsia="Arial" w:hAnsi="Arial" w:cs="Arial"/>
          <w:b/>
          <w:bCs/>
          <w:color w:val="0070C0"/>
        </w:rPr>
        <w:t>5</w:t>
      </w:r>
      <w:r w:rsidRPr="00732F7D">
        <w:rPr>
          <w:rFonts w:ascii="Arial" w:eastAsia="Arial" w:hAnsi="Arial" w:cs="Arial"/>
          <w:b/>
          <w:bCs/>
          <w:color w:val="0070C0"/>
        </w:rPr>
        <w:t xml:space="preserve">: What is the definition of contingent seismic? There appear to be subtle differences in </w:t>
      </w:r>
      <w:r w:rsidR="00F155E0" w:rsidRPr="00732F7D">
        <w:rPr>
          <w:rFonts w:ascii="Arial" w:eastAsia="Arial" w:hAnsi="Arial" w:cs="Arial"/>
          <w:b/>
          <w:bCs/>
          <w:color w:val="0070C0"/>
        </w:rPr>
        <w:t>?30</w:t>
      </w:r>
      <w:r w:rsidR="00F155E0" w:rsidRPr="00732F7D">
        <w:rPr>
          <w:rFonts w:ascii="Arial" w:eastAsia="Arial" w:hAnsi="Arial" w:cs="Arial"/>
          <w:b/>
          <w:bCs/>
          <w:color w:val="0070C0"/>
          <w:vertAlign w:val="superscript"/>
        </w:rPr>
        <w:t>th</w:t>
      </w:r>
      <w:r w:rsidR="00F155E0" w:rsidRPr="00732F7D">
        <w:rPr>
          <w:rFonts w:ascii="Arial" w:eastAsia="Arial" w:hAnsi="Arial" w:cs="Arial"/>
          <w:b/>
          <w:bCs/>
          <w:color w:val="0070C0"/>
        </w:rPr>
        <w:t xml:space="preserve"> R</w:t>
      </w:r>
      <w:r w:rsidRPr="00732F7D">
        <w:rPr>
          <w:rFonts w:ascii="Arial" w:eastAsia="Arial" w:hAnsi="Arial" w:cs="Arial"/>
          <w:b/>
          <w:bCs/>
          <w:color w:val="0070C0"/>
        </w:rPr>
        <w:t xml:space="preserve">ound licences where some seismic contingency requirements include the proviso condition ‘unless the OGA agrees that’ whilst others only </w:t>
      </w:r>
      <w:proofErr w:type="gramStart"/>
      <w:r w:rsidRPr="00732F7D">
        <w:rPr>
          <w:rFonts w:ascii="Arial" w:eastAsia="Arial" w:hAnsi="Arial" w:cs="Arial"/>
          <w:b/>
          <w:bCs/>
          <w:color w:val="0070C0"/>
        </w:rPr>
        <w:t>say</w:t>
      </w:r>
      <w:proofErr w:type="gramEnd"/>
      <w:r w:rsidRPr="00732F7D">
        <w:rPr>
          <w:rFonts w:ascii="Arial" w:eastAsia="Arial" w:hAnsi="Arial" w:cs="Arial"/>
          <w:b/>
          <w:bCs/>
          <w:color w:val="0070C0"/>
        </w:rPr>
        <w:t xml:space="preserve"> ‘in the licensees reasonable assessment’. Is this consistent? </w:t>
      </w:r>
    </w:p>
    <w:p w14:paraId="0C701DD3" w14:textId="77777777" w:rsidR="00836ABB" w:rsidRPr="00732F7D" w:rsidRDefault="00836ABB" w:rsidP="00836ABB">
      <w:pPr>
        <w:pStyle w:val="PlainText"/>
        <w:rPr>
          <w:rFonts w:ascii="Arial" w:hAnsi="Arial" w:cs="Arial"/>
          <w:b/>
          <w:bCs/>
          <w:color w:val="0070C0"/>
        </w:rPr>
      </w:pPr>
    </w:p>
    <w:p w14:paraId="4434CED7" w14:textId="77777777" w:rsidR="00836ABB" w:rsidRPr="00732F7D" w:rsidRDefault="00836ABB">
      <w:pPr>
        <w:pStyle w:val="PlainText"/>
        <w:rPr>
          <w:rFonts w:ascii="Arial" w:eastAsia="Arial" w:hAnsi="Arial" w:cs="Arial"/>
          <w:color w:val="0070C0"/>
        </w:rPr>
      </w:pPr>
      <w:r w:rsidRPr="00732F7D">
        <w:rPr>
          <w:rFonts w:ascii="Arial" w:eastAsia="Arial" w:hAnsi="Arial" w:cs="Arial"/>
          <w:b/>
          <w:bCs/>
          <w:color w:val="0070C0"/>
        </w:rPr>
        <w:t>PA1</w:t>
      </w:r>
      <w:r w:rsidR="007E0A6B" w:rsidRPr="00732F7D">
        <w:rPr>
          <w:rFonts w:ascii="Arial" w:eastAsia="Arial" w:hAnsi="Arial" w:cs="Arial"/>
          <w:b/>
          <w:bCs/>
          <w:color w:val="0070C0"/>
        </w:rPr>
        <w:t>5</w:t>
      </w:r>
      <w:r w:rsidRPr="00732F7D">
        <w:rPr>
          <w:rFonts w:ascii="Arial" w:eastAsia="Arial" w:hAnsi="Arial" w:cs="Arial"/>
          <w:b/>
          <w:bCs/>
          <w:color w:val="0070C0"/>
        </w:rPr>
        <w:t xml:space="preserve">: </w:t>
      </w:r>
      <w:r w:rsidRPr="00732F7D">
        <w:rPr>
          <w:rFonts w:ascii="Arial" w:eastAsia="Arial" w:hAnsi="Arial" w:cs="Arial"/>
          <w:color w:val="0070C0"/>
        </w:rPr>
        <w:t>Where Contingent seismic is indicated in Phase A, there will be a discussion towards the end of that Phase prior to either progressing into Phase B, or dropping the Licence. The OGA will assess the interpretation made by the Licensees and will not allow the Licence to continue into Phase B unless the seismic acquisition is confirmed, but if it is agreed that new shoot seismic is not necessary, either the Licence will be dropped, or may (in exceptional circumstances) agree continuation into Phase C for a well to be drilled.    </w:t>
      </w:r>
    </w:p>
    <w:p w14:paraId="38EFE7DF"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669F20B7" w14:textId="77777777" w:rsidR="00364C49" w:rsidRPr="00732F7D" w:rsidRDefault="00364C49">
      <w:pPr>
        <w:rPr>
          <w:rFonts w:ascii="Arial" w:eastAsia="Arial" w:hAnsi="Arial" w:cs="Arial"/>
          <w:color w:val="0070C0"/>
        </w:rPr>
      </w:pPr>
      <w:r w:rsidRPr="00732F7D">
        <w:rPr>
          <w:rFonts w:ascii="Arial" w:eastAsia="Arial" w:hAnsi="Arial" w:cs="Arial"/>
          <w:b/>
          <w:bCs/>
          <w:color w:val="0070C0"/>
          <w:lang w:val="en-US"/>
        </w:rPr>
        <w:lastRenderedPageBreak/>
        <w:t>PQ</w:t>
      </w:r>
      <w:r w:rsidR="007E0A6B" w:rsidRPr="00732F7D">
        <w:rPr>
          <w:rFonts w:ascii="Arial" w:eastAsia="Arial" w:hAnsi="Arial" w:cs="Arial"/>
          <w:b/>
          <w:bCs/>
          <w:color w:val="0070C0"/>
          <w:lang w:val="en-US"/>
        </w:rPr>
        <w:t>16</w:t>
      </w:r>
      <w:r w:rsidRPr="00732F7D">
        <w:rPr>
          <w:rFonts w:ascii="Arial" w:eastAsia="Arial" w:hAnsi="Arial" w:cs="Arial"/>
          <w:b/>
          <w:bCs/>
          <w:color w:val="0070C0"/>
          <w:lang w:val="en-US"/>
        </w:rPr>
        <w:t xml:space="preserve">: </w:t>
      </w:r>
      <w:r w:rsidRPr="00732F7D">
        <w:rPr>
          <w:rFonts w:ascii="Arial" w:eastAsia="Arial" w:hAnsi="Arial" w:cs="Arial"/>
          <w:b/>
          <w:color w:val="0070C0"/>
          <w:lang w:val="en-US"/>
        </w:rPr>
        <w:t xml:space="preserve">In the situation where an application is made for a </w:t>
      </w:r>
      <w:proofErr w:type="spellStart"/>
      <w:r w:rsidRPr="00732F7D">
        <w:rPr>
          <w:rFonts w:ascii="Arial" w:eastAsia="Arial" w:hAnsi="Arial" w:cs="Arial"/>
          <w:b/>
          <w:color w:val="0070C0"/>
          <w:lang w:val="en-US"/>
        </w:rPr>
        <w:t>licence</w:t>
      </w:r>
      <w:proofErr w:type="spellEnd"/>
      <w:r w:rsidRPr="00732F7D">
        <w:rPr>
          <w:rFonts w:ascii="Arial" w:eastAsia="Arial" w:hAnsi="Arial" w:cs="Arial"/>
          <w:b/>
          <w:color w:val="0070C0"/>
          <w:lang w:val="en-US"/>
        </w:rPr>
        <w:t xml:space="preserve"> comprising multiple blocks, with Phase C as the start phase and a single firm well commitment, do the 100 marks (assuming short duration) apply just to the block which contains the ready-to-drill prospect, or to every block comprising the </w:t>
      </w:r>
      <w:proofErr w:type="spellStart"/>
      <w:r w:rsidRPr="00732F7D">
        <w:rPr>
          <w:rFonts w:ascii="Arial" w:eastAsia="Arial" w:hAnsi="Arial" w:cs="Arial"/>
          <w:b/>
          <w:color w:val="0070C0"/>
          <w:lang w:val="en-US"/>
        </w:rPr>
        <w:t>licence</w:t>
      </w:r>
      <w:proofErr w:type="spellEnd"/>
      <w:r w:rsidRPr="00732F7D">
        <w:rPr>
          <w:rFonts w:ascii="Arial" w:eastAsia="Arial" w:hAnsi="Arial" w:cs="Arial"/>
          <w:b/>
          <w:color w:val="0070C0"/>
          <w:lang w:val="en-US"/>
        </w:rPr>
        <w:t xml:space="preserve"> application? I would have assumed the former, but the response to one of the Q&amp;A topics made me question this:</w:t>
      </w:r>
      <w:r w:rsidRPr="00732F7D">
        <w:rPr>
          <w:rFonts w:ascii="Arial" w:eastAsia="Arial" w:hAnsi="Arial" w:cs="Arial"/>
          <w:color w:val="0070C0"/>
          <w:lang w:val="en-US"/>
        </w:rPr>
        <w:t xml:space="preserve"> </w:t>
      </w:r>
      <w:r w:rsidRPr="00732F7D">
        <w:rPr>
          <w:rFonts w:ascii="Arial" w:eastAsia="Arial" w:hAnsi="Arial" w:cs="Arial"/>
          <w:b/>
          <w:bCs/>
          <w:i/>
          <w:iCs/>
          <w:color w:val="0070C0"/>
          <w:lang w:val="en-US"/>
        </w:rPr>
        <w:t xml:space="preserve">“Note that some elements of the published Marks Scheme relate to block-specific evaluations of </w:t>
      </w:r>
      <w:proofErr w:type="spellStart"/>
      <w:r w:rsidRPr="00732F7D">
        <w:rPr>
          <w:rFonts w:ascii="Arial" w:eastAsia="Arial" w:hAnsi="Arial" w:cs="Arial"/>
          <w:b/>
          <w:bCs/>
          <w:i/>
          <w:iCs/>
          <w:color w:val="0070C0"/>
          <w:lang w:val="en-US"/>
        </w:rPr>
        <w:t>prospectivity</w:t>
      </w:r>
      <w:proofErr w:type="spellEnd"/>
      <w:r w:rsidRPr="00732F7D">
        <w:rPr>
          <w:rFonts w:ascii="Arial" w:eastAsia="Arial" w:hAnsi="Arial" w:cs="Arial"/>
          <w:b/>
          <w:bCs/>
          <w:i/>
          <w:iCs/>
          <w:color w:val="0070C0"/>
          <w:lang w:val="en-US"/>
        </w:rPr>
        <w:t xml:space="preserve"> and discoveries, and so to discriminate between competing applications, the OGA will mark on a block-by-block basis. Since the potential </w:t>
      </w:r>
      <w:proofErr w:type="spellStart"/>
      <w:r w:rsidRPr="00732F7D">
        <w:rPr>
          <w:rFonts w:ascii="Arial" w:eastAsia="Arial" w:hAnsi="Arial" w:cs="Arial"/>
          <w:b/>
          <w:bCs/>
          <w:i/>
          <w:iCs/>
          <w:color w:val="0070C0"/>
          <w:lang w:val="en-US"/>
        </w:rPr>
        <w:t>licence</w:t>
      </w:r>
      <w:proofErr w:type="spellEnd"/>
      <w:r w:rsidRPr="00732F7D">
        <w:rPr>
          <w:rFonts w:ascii="Arial" w:eastAsia="Arial" w:hAnsi="Arial" w:cs="Arial"/>
          <w:b/>
          <w:bCs/>
          <w:i/>
          <w:iCs/>
          <w:color w:val="0070C0"/>
          <w:lang w:val="en-US"/>
        </w:rPr>
        <w:t xml:space="preserve"> will have an overall defined phasing, the phase timing marks will be the same for each block in that group”</w:t>
      </w:r>
    </w:p>
    <w:p w14:paraId="01B6E9FF" w14:textId="77777777" w:rsidR="007828F0" w:rsidRPr="00732F7D" w:rsidRDefault="007828F0" w:rsidP="00364C49">
      <w:pPr>
        <w:rPr>
          <w:rFonts w:ascii="Arial" w:hAnsi="Arial" w:cs="Arial"/>
          <w:b/>
          <w:bCs/>
          <w:color w:val="0070C0"/>
          <w:lang w:val="en-US"/>
        </w:rPr>
      </w:pPr>
    </w:p>
    <w:p w14:paraId="613B831F" w14:textId="77777777" w:rsidR="00364C49" w:rsidRPr="00732F7D" w:rsidRDefault="00364C49">
      <w:pPr>
        <w:rPr>
          <w:rFonts w:ascii="Arial" w:eastAsia="Arial" w:hAnsi="Arial" w:cs="Arial"/>
          <w:color w:val="0070C0"/>
          <w:lang w:val="en-US"/>
        </w:rPr>
      </w:pPr>
      <w:r w:rsidRPr="00732F7D">
        <w:rPr>
          <w:rFonts w:ascii="Arial" w:eastAsia="Arial" w:hAnsi="Arial" w:cs="Arial"/>
          <w:b/>
          <w:bCs/>
          <w:color w:val="0070C0"/>
          <w:lang w:val="en-US"/>
        </w:rPr>
        <w:t>PA</w:t>
      </w:r>
      <w:r w:rsidR="007E0A6B" w:rsidRPr="00732F7D">
        <w:rPr>
          <w:rFonts w:ascii="Arial" w:eastAsia="Arial" w:hAnsi="Arial" w:cs="Arial"/>
          <w:b/>
          <w:bCs/>
          <w:color w:val="0070C0"/>
          <w:lang w:val="en-US"/>
        </w:rPr>
        <w:t>16</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As the marking will be comparative on a Block by Block basis, the Marks will be associated with the Block or Blocks where the Prospect is situated. If a Prospect is split between, say, two Blocks then the OGA may allocate half the Marks to one Block and half to the adjacent Block but only where that is comparable with any competing Application. If a prospect is perceived to be the same </w:t>
      </w:r>
      <w:proofErr w:type="gramStart"/>
      <w:r w:rsidRPr="00732F7D">
        <w:rPr>
          <w:rFonts w:ascii="Arial" w:eastAsia="Arial" w:hAnsi="Arial" w:cs="Arial"/>
          <w:color w:val="0070C0"/>
          <w:lang w:val="en-US"/>
        </w:rPr>
        <w:t>in essence even</w:t>
      </w:r>
      <w:proofErr w:type="gramEnd"/>
      <w:r w:rsidRPr="00732F7D">
        <w:rPr>
          <w:rFonts w:ascii="Arial" w:eastAsia="Arial" w:hAnsi="Arial" w:cs="Arial"/>
          <w:color w:val="0070C0"/>
          <w:lang w:val="en-US"/>
        </w:rPr>
        <w:t xml:space="preserve"> if it is mapped in a slightly different location then the Marks allocated will reflect the similarities. </w:t>
      </w:r>
    </w:p>
    <w:p w14:paraId="432231E7"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11E13C25" w14:textId="77777777" w:rsidR="00364C49" w:rsidRPr="00732F7D" w:rsidRDefault="00364C49">
      <w:pPr>
        <w:rPr>
          <w:rFonts w:ascii="Arial" w:eastAsia="Arial" w:hAnsi="Arial" w:cs="Arial"/>
          <w:b/>
          <w:color w:val="0070C0"/>
          <w:lang w:val="en-US"/>
        </w:rPr>
      </w:pPr>
      <w:r w:rsidRPr="00732F7D">
        <w:rPr>
          <w:rFonts w:ascii="Arial" w:eastAsia="Arial" w:hAnsi="Arial" w:cs="Arial"/>
          <w:b/>
          <w:bCs/>
          <w:color w:val="0070C0"/>
          <w:lang w:val="en-US"/>
        </w:rPr>
        <w:t>PQ1</w:t>
      </w:r>
      <w:r w:rsidR="007E0A6B" w:rsidRPr="00732F7D">
        <w:rPr>
          <w:rFonts w:ascii="Arial" w:eastAsia="Arial" w:hAnsi="Arial" w:cs="Arial"/>
          <w:b/>
          <w:bCs/>
          <w:color w:val="0070C0"/>
          <w:lang w:val="en-US"/>
        </w:rPr>
        <w:t>7</w:t>
      </w:r>
      <w:r w:rsidRPr="00732F7D">
        <w:rPr>
          <w:rFonts w:ascii="Arial" w:eastAsia="Arial" w:hAnsi="Arial" w:cs="Arial"/>
          <w:b/>
          <w:bCs/>
          <w:color w:val="0070C0"/>
          <w:lang w:val="en-US"/>
        </w:rPr>
        <w:t xml:space="preserve">: </w:t>
      </w:r>
      <w:r w:rsidRPr="00732F7D">
        <w:rPr>
          <w:rFonts w:ascii="Arial" w:eastAsia="Arial" w:hAnsi="Arial" w:cs="Arial"/>
          <w:b/>
          <w:color w:val="0070C0"/>
          <w:lang w:val="en-US"/>
        </w:rPr>
        <w:t xml:space="preserve">As a follow-up to this: if the same scenario above applied but with a two firm well commitment, how are marks credited for this? The mark scheme almost suggests that you only get credit for the phasing (applied across an entire </w:t>
      </w:r>
      <w:proofErr w:type="spellStart"/>
      <w:r w:rsidRPr="00732F7D">
        <w:rPr>
          <w:rFonts w:ascii="Arial" w:eastAsia="Arial" w:hAnsi="Arial" w:cs="Arial"/>
          <w:b/>
          <w:color w:val="0070C0"/>
          <w:lang w:val="en-US"/>
        </w:rPr>
        <w:t>licence</w:t>
      </w:r>
      <w:proofErr w:type="spellEnd"/>
      <w:r w:rsidRPr="00732F7D">
        <w:rPr>
          <w:rFonts w:ascii="Arial" w:eastAsia="Arial" w:hAnsi="Arial" w:cs="Arial"/>
          <w:b/>
          <w:color w:val="0070C0"/>
          <w:lang w:val="en-US"/>
        </w:rPr>
        <w:t xml:space="preserve"> application), but not for the number of wells you commit to drill. I’m sure extra credit must be given for a multiple well commitment, but can’t see how this would be applied in the mark scheme?</w:t>
      </w:r>
    </w:p>
    <w:p w14:paraId="08CD0706" w14:textId="77777777" w:rsidR="00364C49" w:rsidRPr="00732F7D" w:rsidRDefault="00364C49" w:rsidP="00364C49">
      <w:pPr>
        <w:rPr>
          <w:rFonts w:ascii="Arial" w:hAnsi="Arial" w:cs="Arial"/>
          <w:b/>
          <w:bCs/>
          <w:color w:val="0070C0"/>
          <w:lang w:val="en-US"/>
        </w:rPr>
      </w:pPr>
    </w:p>
    <w:p w14:paraId="3C9331C5" w14:textId="77777777" w:rsidR="00364C49" w:rsidRPr="00732F7D" w:rsidRDefault="00364C49">
      <w:pPr>
        <w:rPr>
          <w:rFonts w:ascii="Arial" w:eastAsia="Arial" w:hAnsi="Arial" w:cs="Arial"/>
          <w:i/>
          <w:iCs/>
          <w:color w:val="0070C0"/>
          <w:lang w:val="en-US"/>
        </w:rPr>
      </w:pPr>
      <w:r w:rsidRPr="00732F7D">
        <w:rPr>
          <w:rFonts w:ascii="Arial" w:eastAsia="Arial" w:hAnsi="Arial" w:cs="Arial"/>
          <w:b/>
          <w:bCs/>
          <w:color w:val="0070C0"/>
          <w:lang w:val="en-US"/>
        </w:rPr>
        <w:t>PA1</w:t>
      </w:r>
      <w:r w:rsidR="007E0A6B" w:rsidRPr="00732F7D">
        <w:rPr>
          <w:rFonts w:ascii="Arial" w:eastAsia="Arial" w:hAnsi="Arial" w:cs="Arial"/>
          <w:b/>
          <w:bCs/>
          <w:color w:val="0070C0"/>
          <w:lang w:val="en-US"/>
        </w:rPr>
        <w:t>7</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Only One Firm well will be marked per potential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 xml:space="preserve">, </w:t>
      </w:r>
      <w:r w:rsidRPr="00732F7D">
        <w:rPr>
          <w:rFonts w:ascii="Arial" w:eastAsia="Arial" w:hAnsi="Arial" w:cs="Arial"/>
          <w:i/>
          <w:iCs/>
          <w:color w:val="0070C0"/>
          <w:lang w:val="en-US"/>
        </w:rPr>
        <w:t>unless it is unambiguously clear that the wells are to different targets, with NO dependency of the results from one of the wells to another.</w:t>
      </w:r>
    </w:p>
    <w:p w14:paraId="75E91C11"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0AE6BFA6" w14:textId="77777777" w:rsidR="00364C49" w:rsidRPr="00732F7D" w:rsidRDefault="00364C49">
      <w:pPr>
        <w:rPr>
          <w:rFonts w:ascii="Arial" w:eastAsia="Arial" w:hAnsi="Arial" w:cs="Arial"/>
          <w:b/>
          <w:color w:val="0070C0"/>
        </w:rPr>
      </w:pPr>
      <w:r w:rsidRPr="00732F7D">
        <w:rPr>
          <w:rFonts w:ascii="Arial" w:eastAsia="Arial" w:hAnsi="Arial" w:cs="Arial"/>
          <w:b/>
          <w:bCs/>
          <w:color w:val="0070C0"/>
        </w:rPr>
        <w:t>PQ</w:t>
      </w:r>
      <w:r w:rsidR="007E0A6B" w:rsidRPr="00732F7D">
        <w:rPr>
          <w:rFonts w:ascii="Arial" w:eastAsia="Arial" w:hAnsi="Arial" w:cs="Arial"/>
          <w:b/>
          <w:bCs/>
          <w:color w:val="0070C0"/>
        </w:rPr>
        <w:t>18</w:t>
      </w:r>
      <w:r w:rsidRPr="00732F7D">
        <w:rPr>
          <w:rFonts w:ascii="Arial" w:eastAsia="Arial" w:hAnsi="Arial" w:cs="Arial"/>
          <w:b/>
          <w:bCs/>
          <w:color w:val="0070C0"/>
        </w:rPr>
        <w:t xml:space="preserve">: </w:t>
      </w:r>
      <w:r w:rsidRPr="00732F7D">
        <w:rPr>
          <w:rFonts w:ascii="Arial" w:eastAsia="Arial" w:hAnsi="Arial" w:cs="Arial"/>
          <w:b/>
          <w:color w:val="0070C0"/>
        </w:rPr>
        <w:t xml:space="preserve">I was wondering if you could clarify a query I had regarding the </w:t>
      </w:r>
      <w:hyperlink r:id="rId15" w:history="1">
        <w:r w:rsidRPr="00732F7D">
          <w:rPr>
            <w:rStyle w:val="Hyperlink"/>
            <w:rFonts w:ascii="Arial" w:eastAsia="Arial" w:hAnsi="Arial" w:cs="Arial"/>
            <w:b/>
            <w:color w:val="0070C0"/>
          </w:rPr>
          <w:t>mark scheme reference document</w:t>
        </w:r>
      </w:hyperlink>
      <w:r w:rsidRPr="00732F7D">
        <w:rPr>
          <w:rFonts w:ascii="Arial" w:eastAsia="Arial" w:hAnsi="Arial" w:cs="Arial"/>
          <w:b/>
          <w:color w:val="0070C0"/>
        </w:rPr>
        <w:t>.</w:t>
      </w:r>
    </w:p>
    <w:p w14:paraId="5153065D" w14:textId="77777777" w:rsidR="00364C49" w:rsidRPr="00732F7D" w:rsidRDefault="00364C49">
      <w:pPr>
        <w:rPr>
          <w:rFonts w:ascii="Arial" w:eastAsia="Arial" w:hAnsi="Arial" w:cs="Arial"/>
          <w:color w:val="0070C0"/>
        </w:rPr>
      </w:pPr>
      <w:r w:rsidRPr="00732F7D">
        <w:rPr>
          <w:rFonts w:ascii="Arial" w:eastAsia="Arial" w:hAnsi="Arial" w:cs="Arial"/>
          <w:color w:val="0070C0"/>
        </w:rPr>
        <w:t>Per the “β” note it states that “An above-ground evaluation should be provided for all applications where the Initial Term is Phase C or the Licence start term is the Second Term”.  Should this be interpreted as:</w:t>
      </w:r>
    </w:p>
    <w:p w14:paraId="79280D6D" w14:textId="77777777" w:rsidR="00364C49" w:rsidRPr="00732F7D" w:rsidRDefault="00364C49">
      <w:pPr>
        <w:numPr>
          <w:ilvl w:val="0"/>
          <w:numId w:val="14"/>
        </w:numPr>
        <w:suppressAutoHyphens w:val="0"/>
        <w:rPr>
          <w:rFonts w:ascii="Arial" w:eastAsia="Arial" w:hAnsi="Arial" w:cs="Arial"/>
          <w:color w:val="0070C0"/>
        </w:rPr>
      </w:pPr>
      <w:r w:rsidRPr="00732F7D">
        <w:rPr>
          <w:rFonts w:ascii="Arial" w:eastAsia="Arial" w:hAnsi="Arial" w:cs="Arial"/>
          <w:color w:val="0070C0"/>
        </w:rPr>
        <w:t>All submissions will be marked on their Above Ground Evaluation, but it’s mandatory for Phase C or Second Term applications, OR</w:t>
      </w:r>
    </w:p>
    <w:p w14:paraId="1098012B" w14:textId="77777777" w:rsidR="00364C49" w:rsidRPr="00732F7D" w:rsidRDefault="00364C49">
      <w:pPr>
        <w:numPr>
          <w:ilvl w:val="0"/>
          <w:numId w:val="14"/>
        </w:numPr>
        <w:suppressAutoHyphens w:val="0"/>
        <w:rPr>
          <w:rFonts w:ascii="Arial" w:eastAsia="Arial" w:hAnsi="Arial" w:cs="Arial"/>
          <w:color w:val="0070C0"/>
        </w:rPr>
      </w:pPr>
      <w:r w:rsidRPr="00732F7D">
        <w:rPr>
          <w:rFonts w:ascii="Arial" w:eastAsia="Arial" w:hAnsi="Arial" w:cs="Arial"/>
          <w:color w:val="0070C0"/>
        </w:rPr>
        <w:t>Only applications for Phase C or Second Term should have an Above Ground Application and it won’t contribute to marks for Phase A or B applications.</w:t>
      </w:r>
    </w:p>
    <w:p w14:paraId="327177C2" w14:textId="77777777" w:rsidR="00364C49" w:rsidRPr="00732F7D" w:rsidRDefault="00364C49" w:rsidP="00364C49">
      <w:pPr>
        <w:rPr>
          <w:rFonts w:ascii="Arial" w:hAnsi="Arial" w:cs="Arial"/>
          <w:color w:val="0070C0"/>
        </w:rPr>
      </w:pPr>
    </w:p>
    <w:p w14:paraId="460C1C9A" w14:textId="77777777" w:rsidR="00364C49" w:rsidRPr="00732F7D" w:rsidRDefault="00364C49">
      <w:pPr>
        <w:rPr>
          <w:rFonts w:ascii="Arial" w:eastAsia="Arial" w:hAnsi="Arial" w:cs="Arial"/>
          <w:color w:val="0070C0"/>
          <w:lang w:val="en-US"/>
        </w:rPr>
      </w:pPr>
      <w:r w:rsidRPr="00732F7D">
        <w:rPr>
          <w:rFonts w:ascii="Arial" w:eastAsia="Arial" w:hAnsi="Arial" w:cs="Arial"/>
          <w:b/>
          <w:bCs/>
          <w:color w:val="0070C0"/>
          <w:lang w:val="en-US"/>
        </w:rPr>
        <w:t>PA</w:t>
      </w:r>
      <w:r w:rsidR="007E0A6B" w:rsidRPr="00732F7D">
        <w:rPr>
          <w:rFonts w:ascii="Arial" w:eastAsia="Arial" w:hAnsi="Arial" w:cs="Arial"/>
          <w:b/>
          <w:bCs/>
          <w:color w:val="0070C0"/>
          <w:lang w:val="en-US"/>
        </w:rPr>
        <w:t>18</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Above-ground evaluation would be expected for a Phase C Initial Term or the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 xml:space="preserve"> start term is the Second Term. Where a well-thought out, relevant, above-ground evaluation is submitted for a Phase A/B Application, the OGA would mark it.</w:t>
      </w:r>
    </w:p>
    <w:p w14:paraId="59B21297"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1F80121C"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PQ</w:t>
      </w:r>
      <w:r w:rsidR="007E0A6B" w:rsidRPr="00732F7D">
        <w:rPr>
          <w:rFonts w:ascii="Arial" w:eastAsia="Arial" w:hAnsi="Arial" w:cs="Arial"/>
          <w:b/>
          <w:bCs/>
          <w:color w:val="0070C0"/>
        </w:rPr>
        <w:t>19</w:t>
      </w:r>
      <w:r w:rsidRPr="00732F7D">
        <w:rPr>
          <w:rFonts w:ascii="Arial" w:eastAsia="Arial" w:hAnsi="Arial" w:cs="Arial"/>
          <w:b/>
          <w:bCs/>
          <w:color w:val="0070C0"/>
        </w:rPr>
        <w:t xml:space="preserve">: </w:t>
      </w:r>
      <w:r w:rsidRPr="00732F7D">
        <w:rPr>
          <w:rFonts w:ascii="Arial" w:eastAsia="Arial" w:hAnsi="Arial" w:cs="Arial"/>
          <w:b/>
          <w:color w:val="0070C0"/>
        </w:rPr>
        <w:t>I was also wondering if there was any more detailed official guidance regarding above ground evaluation?</w:t>
      </w:r>
    </w:p>
    <w:p w14:paraId="0F437B31" w14:textId="77777777" w:rsidR="00364C49" w:rsidRPr="00732F7D" w:rsidRDefault="00364C49" w:rsidP="00364C49">
      <w:pPr>
        <w:rPr>
          <w:rFonts w:ascii="Arial" w:hAnsi="Arial" w:cs="Arial"/>
          <w:b/>
          <w:bCs/>
          <w:color w:val="0070C0"/>
          <w:lang w:val="en-US"/>
        </w:rPr>
      </w:pPr>
    </w:p>
    <w:p w14:paraId="2AD9B110" w14:textId="77777777" w:rsidR="00364C49" w:rsidRPr="00732F7D" w:rsidRDefault="00364C49">
      <w:pPr>
        <w:rPr>
          <w:rFonts w:ascii="Arial" w:eastAsia="Arial" w:hAnsi="Arial" w:cs="Arial"/>
          <w:color w:val="0070C0"/>
          <w:lang w:val="en-US"/>
        </w:rPr>
      </w:pPr>
      <w:r w:rsidRPr="00732F7D">
        <w:rPr>
          <w:rFonts w:ascii="Arial" w:eastAsia="Arial" w:hAnsi="Arial" w:cs="Arial"/>
          <w:b/>
          <w:bCs/>
          <w:color w:val="0070C0"/>
          <w:lang w:val="en-US"/>
        </w:rPr>
        <w:t>PA</w:t>
      </w:r>
      <w:r w:rsidR="007E0A6B" w:rsidRPr="00732F7D">
        <w:rPr>
          <w:rFonts w:ascii="Arial" w:eastAsia="Arial" w:hAnsi="Arial" w:cs="Arial"/>
          <w:b/>
          <w:bCs/>
          <w:color w:val="0070C0"/>
          <w:lang w:val="en-US"/>
        </w:rPr>
        <w:t>19</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The OGA has not provided guidance for any of the three areas in the Above-Ground Evaluation as it is difficult to be prescriptive. Information provided will be assessed (as stated above) on its relevance to the </w:t>
      </w:r>
      <w:proofErr w:type="spellStart"/>
      <w:r w:rsidRPr="00732F7D">
        <w:rPr>
          <w:rFonts w:ascii="Arial" w:eastAsia="Arial" w:hAnsi="Arial" w:cs="Arial"/>
          <w:color w:val="0070C0"/>
          <w:lang w:val="en-US"/>
        </w:rPr>
        <w:t>prospectivity</w:t>
      </w:r>
      <w:proofErr w:type="spellEnd"/>
      <w:r w:rsidRPr="00732F7D">
        <w:rPr>
          <w:rFonts w:ascii="Arial" w:eastAsia="Arial" w:hAnsi="Arial" w:cs="Arial"/>
          <w:color w:val="0070C0"/>
          <w:lang w:val="en-US"/>
        </w:rPr>
        <w:t xml:space="preserve"> and the area concerned. </w:t>
      </w:r>
    </w:p>
    <w:p w14:paraId="7C6A775E"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1B725912" w14:textId="77777777" w:rsidR="00364C49" w:rsidRPr="00732F7D" w:rsidRDefault="00364C49">
      <w:pPr>
        <w:rPr>
          <w:rFonts w:ascii="Arial" w:eastAsia="Arial" w:hAnsi="Arial" w:cs="Arial"/>
          <w:b/>
          <w:color w:val="0070C0"/>
        </w:rPr>
      </w:pPr>
      <w:r w:rsidRPr="00732F7D">
        <w:rPr>
          <w:rFonts w:ascii="Arial" w:eastAsia="Arial" w:hAnsi="Arial" w:cs="Arial"/>
          <w:b/>
          <w:bCs/>
          <w:color w:val="0070C0"/>
        </w:rPr>
        <w:lastRenderedPageBreak/>
        <w:t>PQ</w:t>
      </w:r>
      <w:r w:rsidR="007828F0" w:rsidRPr="00732F7D">
        <w:rPr>
          <w:rFonts w:ascii="Arial" w:eastAsia="Arial" w:hAnsi="Arial" w:cs="Arial"/>
          <w:b/>
          <w:bCs/>
          <w:color w:val="0070C0"/>
        </w:rPr>
        <w:t>2</w:t>
      </w:r>
      <w:r w:rsidR="007E0A6B" w:rsidRPr="00732F7D">
        <w:rPr>
          <w:rFonts w:ascii="Arial" w:eastAsia="Arial" w:hAnsi="Arial" w:cs="Arial"/>
          <w:b/>
          <w:bCs/>
          <w:color w:val="0070C0"/>
        </w:rPr>
        <w:t>0</w:t>
      </w:r>
      <w:r w:rsidRPr="00732F7D">
        <w:rPr>
          <w:rFonts w:ascii="Arial" w:eastAsia="Arial" w:hAnsi="Arial" w:cs="Arial"/>
          <w:b/>
          <w:bCs/>
          <w:color w:val="0070C0"/>
        </w:rPr>
        <w:t>:</w:t>
      </w:r>
      <w:r w:rsidRPr="00732F7D">
        <w:rPr>
          <w:rFonts w:ascii="Arial" w:eastAsia="Arial" w:hAnsi="Arial" w:cs="Arial"/>
          <w:color w:val="0070C0"/>
        </w:rPr>
        <w:t xml:space="preserve"> </w:t>
      </w:r>
      <w:r w:rsidRPr="00732F7D">
        <w:rPr>
          <w:rFonts w:ascii="Arial" w:eastAsia="Arial" w:hAnsi="Arial" w:cs="Arial"/>
          <w:b/>
          <w:color w:val="0070C0"/>
        </w:rPr>
        <w:t xml:space="preserve">If one enters into a Phase </w:t>
      </w:r>
      <w:proofErr w:type="spellStart"/>
      <w:proofErr w:type="gramStart"/>
      <w:r w:rsidRPr="00732F7D">
        <w:rPr>
          <w:rFonts w:ascii="Arial" w:eastAsia="Arial" w:hAnsi="Arial" w:cs="Arial"/>
          <w:b/>
          <w:color w:val="0070C0"/>
        </w:rPr>
        <w:t>A</w:t>
      </w:r>
      <w:proofErr w:type="spellEnd"/>
      <w:proofErr w:type="gramEnd"/>
      <w:r w:rsidRPr="00732F7D">
        <w:rPr>
          <w:rFonts w:ascii="Arial" w:eastAsia="Arial" w:hAnsi="Arial" w:cs="Arial"/>
          <w:b/>
          <w:color w:val="0070C0"/>
        </w:rPr>
        <w:t xml:space="preserve"> Initial Term licence and one proposes to move into Phase C and drill a well after x years, is there a problem to drill a well earlier if progress is made quicker than planned in the study phase? Or is it also possible to first move into Phase B before and delaying Phase C possibly. In other words, can the proposed Work Programme be adjusted along the way with new data coming to light?</w:t>
      </w:r>
    </w:p>
    <w:p w14:paraId="0CCFCE33" w14:textId="77777777" w:rsidR="00DC2B6E" w:rsidRPr="00732F7D" w:rsidRDefault="00DC2B6E">
      <w:pPr>
        <w:rPr>
          <w:rFonts w:ascii="Arial" w:eastAsia="Arial" w:hAnsi="Arial" w:cs="Arial"/>
          <w:b/>
          <w:bCs/>
          <w:color w:val="0070C0"/>
          <w:lang w:val="en-US"/>
        </w:rPr>
      </w:pPr>
    </w:p>
    <w:p w14:paraId="1B263905" w14:textId="77777777" w:rsidR="00364C49" w:rsidRPr="00732F7D" w:rsidRDefault="00364C49">
      <w:pPr>
        <w:rPr>
          <w:rFonts w:ascii="Arial" w:eastAsia="Arial" w:hAnsi="Arial" w:cs="Arial"/>
          <w:b/>
          <w:bCs/>
          <w:color w:val="0070C0"/>
          <w:lang w:val="en-US"/>
        </w:rPr>
      </w:pPr>
      <w:r w:rsidRPr="00732F7D">
        <w:rPr>
          <w:rFonts w:ascii="Arial" w:eastAsia="Arial" w:hAnsi="Arial" w:cs="Arial"/>
          <w:b/>
          <w:bCs/>
          <w:color w:val="0070C0"/>
          <w:lang w:val="en-US"/>
        </w:rPr>
        <w:t>PA</w:t>
      </w:r>
      <w:r w:rsidR="007828F0" w:rsidRPr="00732F7D">
        <w:rPr>
          <w:rFonts w:ascii="Arial" w:eastAsia="Arial" w:hAnsi="Arial" w:cs="Arial"/>
          <w:b/>
          <w:bCs/>
          <w:color w:val="0070C0"/>
          <w:lang w:val="en-US"/>
        </w:rPr>
        <w:t>2</w:t>
      </w:r>
      <w:r w:rsidR="007E0A6B" w:rsidRPr="00732F7D">
        <w:rPr>
          <w:rFonts w:ascii="Arial" w:eastAsia="Arial" w:hAnsi="Arial" w:cs="Arial"/>
          <w:b/>
          <w:bCs/>
          <w:color w:val="0070C0"/>
          <w:lang w:val="en-US"/>
        </w:rPr>
        <w:t>0</w:t>
      </w:r>
      <w:r w:rsidRPr="00732F7D">
        <w:rPr>
          <w:rFonts w:ascii="Arial" w:eastAsia="Arial" w:hAnsi="Arial" w:cs="Arial"/>
          <w:b/>
          <w:bCs/>
          <w:color w:val="0070C0"/>
          <w:lang w:val="en-US"/>
        </w:rPr>
        <w:t xml:space="preserve">:  </w:t>
      </w:r>
      <w:r w:rsidRPr="00732F7D">
        <w:rPr>
          <w:rFonts w:ascii="Arial" w:eastAsia="Arial" w:hAnsi="Arial" w:cs="Arial"/>
          <w:color w:val="0070C0"/>
          <w:lang w:val="en-US"/>
        </w:rPr>
        <w:t xml:space="preserve">The Innovate </w:t>
      </w:r>
      <w:proofErr w:type="spellStart"/>
      <w:r w:rsidRPr="00732F7D">
        <w:rPr>
          <w:rFonts w:ascii="Arial" w:eastAsia="Arial" w:hAnsi="Arial" w:cs="Arial"/>
          <w:color w:val="0070C0"/>
          <w:lang w:val="en-US"/>
        </w:rPr>
        <w:t>Licence</w:t>
      </w:r>
      <w:proofErr w:type="spellEnd"/>
      <w:r w:rsidRPr="00732F7D">
        <w:rPr>
          <w:rFonts w:ascii="Arial" w:eastAsia="Arial" w:hAnsi="Arial" w:cs="Arial"/>
          <w:color w:val="0070C0"/>
          <w:lang w:val="en-US"/>
        </w:rPr>
        <w:t xml:space="preserve"> is devised to be flexible; the Applicant </w:t>
      </w:r>
      <w:proofErr w:type="gramStart"/>
      <w:r w:rsidRPr="00732F7D">
        <w:rPr>
          <w:rFonts w:ascii="Arial" w:eastAsia="Arial" w:hAnsi="Arial" w:cs="Arial"/>
          <w:color w:val="0070C0"/>
          <w:lang w:val="en-US"/>
        </w:rPr>
        <w:t>is able to</w:t>
      </w:r>
      <w:proofErr w:type="gramEnd"/>
      <w:r w:rsidRPr="00732F7D">
        <w:rPr>
          <w:rFonts w:ascii="Arial" w:eastAsia="Arial" w:hAnsi="Arial" w:cs="Arial"/>
          <w:color w:val="0070C0"/>
          <w:lang w:val="en-US"/>
        </w:rPr>
        <w:t xml:space="preserve"> specify the Work </w:t>
      </w:r>
      <w:proofErr w:type="spellStart"/>
      <w:r w:rsidRPr="00732F7D">
        <w:rPr>
          <w:rFonts w:ascii="Arial" w:eastAsia="Arial" w:hAnsi="Arial" w:cs="Arial"/>
          <w:color w:val="0070C0"/>
          <w:lang w:val="en-US"/>
        </w:rPr>
        <w:t>Programme</w:t>
      </w:r>
      <w:proofErr w:type="spellEnd"/>
      <w:r w:rsidRPr="00732F7D">
        <w:rPr>
          <w:rFonts w:ascii="Arial" w:eastAsia="Arial" w:hAnsi="Arial" w:cs="Arial"/>
          <w:color w:val="0070C0"/>
          <w:lang w:val="en-US"/>
        </w:rPr>
        <w:t xml:space="preserve"> and timescale that suits the </w:t>
      </w:r>
      <w:proofErr w:type="spellStart"/>
      <w:r w:rsidRPr="00732F7D">
        <w:rPr>
          <w:rFonts w:ascii="Arial" w:eastAsia="Arial" w:hAnsi="Arial" w:cs="Arial"/>
          <w:color w:val="0070C0"/>
          <w:lang w:val="en-US"/>
        </w:rPr>
        <w:t>prospectivity</w:t>
      </w:r>
      <w:proofErr w:type="spellEnd"/>
      <w:r w:rsidRPr="00732F7D">
        <w:rPr>
          <w:rFonts w:ascii="Arial" w:eastAsia="Arial" w:hAnsi="Arial" w:cs="Arial"/>
          <w:color w:val="0070C0"/>
          <w:lang w:val="en-US"/>
        </w:rPr>
        <w:t xml:space="preserve"> they have identified, within a framework. There is nothing to prevent the successful Applicant from drilling earlier than originally proposed (although this should be discussed with the OGA at the annual review). Requests for extensions to any Phase would be considered, as always, but first, a charge may apply and secondly, it would be expected that contingencies such as further information requirements would be built into the </w:t>
      </w:r>
      <w:proofErr w:type="spellStart"/>
      <w:r w:rsidRPr="00732F7D">
        <w:rPr>
          <w:rFonts w:ascii="Arial" w:eastAsia="Arial" w:hAnsi="Arial" w:cs="Arial"/>
          <w:color w:val="0070C0"/>
          <w:lang w:val="en-US"/>
        </w:rPr>
        <w:t>Programme</w:t>
      </w:r>
      <w:proofErr w:type="spellEnd"/>
      <w:r w:rsidRPr="00732F7D">
        <w:rPr>
          <w:rFonts w:ascii="Arial" w:eastAsia="Arial" w:hAnsi="Arial" w:cs="Arial"/>
          <w:color w:val="0070C0"/>
          <w:lang w:val="en-US"/>
        </w:rPr>
        <w:t xml:space="preserve">. For example, if there is only 2D seismic available in an area, it would be prudent to include a Phase B for shooting 3D seismic to enable any well to be drilled on the best data.  </w:t>
      </w:r>
      <w:r w:rsidRPr="00732F7D">
        <w:rPr>
          <w:rFonts w:ascii="Arial" w:eastAsia="Arial" w:hAnsi="Arial" w:cs="Arial"/>
          <w:b/>
          <w:bCs/>
          <w:color w:val="0070C0"/>
          <w:lang w:val="en-US"/>
        </w:rPr>
        <w:t xml:space="preserve"> </w:t>
      </w:r>
    </w:p>
    <w:p w14:paraId="24663B07"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00F33697" w14:textId="77777777" w:rsidR="00364C49" w:rsidRPr="00732F7D" w:rsidRDefault="00DC2B6E">
      <w:pPr>
        <w:pStyle w:val="NormalWeb"/>
        <w:rPr>
          <w:rFonts w:ascii="Arial" w:eastAsia="Arial" w:hAnsi="Arial" w:cs="Arial"/>
          <w:color w:val="0070C0"/>
        </w:rPr>
      </w:pPr>
      <w:r w:rsidRPr="00732F7D">
        <w:rPr>
          <w:rFonts w:ascii="Arial" w:eastAsia="Arial" w:hAnsi="Arial" w:cs="Arial"/>
          <w:b/>
          <w:bCs/>
          <w:color w:val="0070C0"/>
        </w:rPr>
        <w:t>P</w:t>
      </w:r>
      <w:r w:rsidR="00364C49" w:rsidRPr="00732F7D">
        <w:rPr>
          <w:rFonts w:ascii="Arial" w:eastAsia="Arial" w:hAnsi="Arial" w:cs="Arial"/>
          <w:b/>
          <w:bCs/>
          <w:color w:val="0070C0"/>
        </w:rPr>
        <w:t>Q</w:t>
      </w:r>
      <w:r w:rsidR="007828F0" w:rsidRPr="00732F7D">
        <w:rPr>
          <w:rFonts w:ascii="Arial" w:eastAsia="Arial" w:hAnsi="Arial" w:cs="Arial"/>
          <w:b/>
          <w:bCs/>
          <w:color w:val="0070C0"/>
        </w:rPr>
        <w:t>2</w:t>
      </w:r>
      <w:r w:rsidR="00302C1F" w:rsidRPr="00732F7D">
        <w:rPr>
          <w:rFonts w:ascii="Arial" w:eastAsia="Arial" w:hAnsi="Arial" w:cs="Arial"/>
          <w:b/>
          <w:bCs/>
          <w:color w:val="0070C0"/>
        </w:rPr>
        <w:t>1</w:t>
      </w:r>
      <w:r w:rsidR="00364C49" w:rsidRPr="00732F7D">
        <w:rPr>
          <w:rFonts w:ascii="Arial" w:eastAsia="Arial" w:hAnsi="Arial" w:cs="Arial"/>
          <w:b/>
          <w:bCs/>
          <w:color w:val="0070C0"/>
        </w:rPr>
        <w:t>:</w:t>
      </w:r>
      <w:r w:rsidR="00364C49" w:rsidRPr="00732F7D">
        <w:rPr>
          <w:rFonts w:ascii="Arial" w:eastAsia="Arial" w:hAnsi="Arial" w:cs="Arial"/>
          <w:color w:val="0070C0"/>
        </w:rPr>
        <w:t xml:space="preserve"> </w:t>
      </w:r>
      <w:r w:rsidR="00364C49" w:rsidRPr="00732F7D">
        <w:rPr>
          <w:rFonts w:ascii="Arial" w:eastAsia="Arial" w:hAnsi="Arial" w:cs="Arial"/>
          <w:b/>
          <w:color w:val="0070C0"/>
        </w:rPr>
        <w:t>We see from the Seaward Marks Scheme Summary that in the "Geotechnical database used" section use of 3D seismic gets 30 marks maximum whereas Well data gets 5 marks maximum. Is this 5 per well or 5 for using every available well? Wells provide as much information relevant to petroleum production as seismic data and should receive comparable weighting.</w:t>
      </w:r>
    </w:p>
    <w:p w14:paraId="0D81F76E"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PA</w:t>
      </w:r>
      <w:r w:rsidR="007828F0" w:rsidRPr="00732F7D">
        <w:rPr>
          <w:rFonts w:ascii="Arial" w:eastAsia="Arial" w:hAnsi="Arial" w:cs="Arial"/>
          <w:b/>
          <w:bCs/>
          <w:color w:val="0070C0"/>
        </w:rPr>
        <w:t>2</w:t>
      </w:r>
      <w:r w:rsidR="00302C1F" w:rsidRPr="00732F7D">
        <w:rPr>
          <w:rFonts w:ascii="Arial" w:eastAsia="Arial" w:hAnsi="Arial" w:cs="Arial"/>
          <w:b/>
          <w:bCs/>
          <w:color w:val="0070C0"/>
        </w:rPr>
        <w:t>1</w:t>
      </w:r>
      <w:r w:rsidRPr="00732F7D">
        <w:rPr>
          <w:rFonts w:ascii="Arial" w:eastAsia="Arial" w:hAnsi="Arial" w:cs="Arial"/>
          <w:b/>
          <w:bCs/>
          <w:color w:val="0070C0"/>
        </w:rPr>
        <w:t>:</w:t>
      </w:r>
      <w:r w:rsidRPr="00732F7D">
        <w:rPr>
          <w:rFonts w:ascii="Arial" w:eastAsia="Arial" w:hAnsi="Arial" w:cs="Arial"/>
          <w:color w:val="0070C0"/>
        </w:rPr>
        <w:t xml:space="preserve"> In the Marks </w:t>
      </w:r>
      <w:proofErr w:type="gramStart"/>
      <w:r w:rsidRPr="00732F7D">
        <w:rPr>
          <w:rFonts w:ascii="Arial" w:eastAsia="Arial" w:hAnsi="Arial" w:cs="Arial"/>
          <w:color w:val="0070C0"/>
        </w:rPr>
        <w:t>Scheme</w:t>
      </w:r>
      <w:proofErr w:type="gramEnd"/>
      <w:r w:rsidRPr="00732F7D">
        <w:rPr>
          <w:rFonts w:ascii="Arial" w:eastAsia="Arial" w:hAnsi="Arial" w:cs="Arial"/>
          <w:color w:val="0070C0"/>
        </w:rPr>
        <w:t xml:space="preserve"> the “Geotechnical database used” Well data is 5 Marks (max) overall as the OGA would expect the Applicant to have reviewed appropriate well data in the area of the Block(s) they are applying for. Well data is comparatively easy and inexpensive to view through CDA or at OGA Offices where the microfiche of released wells is available on appointment.  Enhanced well datasets can also be purchased from OGA’s appointed release agents, and for this licence round, the OGA has made a subset of the wells available for download through CDA with no charge.</w:t>
      </w:r>
    </w:p>
    <w:p w14:paraId="4DFDEFC2" w14:textId="77777777" w:rsidR="00364C49" w:rsidRPr="00732F7D" w:rsidRDefault="00364C49">
      <w:pPr>
        <w:rPr>
          <w:rFonts w:ascii="Arial" w:eastAsia="Arial" w:hAnsi="Arial" w:cs="Arial"/>
          <w:color w:val="0070C0"/>
        </w:rPr>
      </w:pPr>
      <w:proofErr w:type="gramStart"/>
      <w:r w:rsidRPr="00732F7D">
        <w:rPr>
          <w:rFonts w:ascii="Arial" w:eastAsia="Arial" w:hAnsi="Arial" w:cs="Arial"/>
          <w:color w:val="0070C0"/>
        </w:rPr>
        <w:t>Again</w:t>
      </w:r>
      <w:proofErr w:type="gramEnd"/>
      <w:r w:rsidRPr="00732F7D">
        <w:rPr>
          <w:rFonts w:ascii="Arial" w:eastAsia="Arial" w:hAnsi="Arial" w:cs="Arial"/>
          <w:color w:val="0070C0"/>
        </w:rPr>
        <w:t xml:space="preserve"> it would be expected that the available seismic data would have been reviewed but as this is usually subject to purchasing a Licence to view, with varying costs associated, if an Applicant can demonstrate that it has done this then it will attract some Marks. </w:t>
      </w:r>
    </w:p>
    <w:p w14:paraId="21E3BEAE"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3916E93C"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PQ</w:t>
      </w:r>
      <w:r w:rsidR="007828F0" w:rsidRPr="00732F7D">
        <w:rPr>
          <w:rFonts w:ascii="Arial" w:eastAsia="Arial" w:hAnsi="Arial" w:cs="Arial"/>
          <w:b/>
          <w:bCs/>
          <w:color w:val="0070C0"/>
        </w:rPr>
        <w:t>2</w:t>
      </w:r>
      <w:r w:rsidR="00302C1F" w:rsidRPr="00732F7D">
        <w:rPr>
          <w:rFonts w:ascii="Arial" w:eastAsia="Arial" w:hAnsi="Arial" w:cs="Arial"/>
          <w:b/>
          <w:bCs/>
          <w:color w:val="0070C0"/>
        </w:rPr>
        <w:t>2</w:t>
      </w:r>
      <w:r w:rsidRPr="00732F7D">
        <w:rPr>
          <w:rFonts w:ascii="Arial" w:eastAsia="Arial" w:hAnsi="Arial" w:cs="Arial"/>
          <w:b/>
          <w:bCs/>
          <w:color w:val="0070C0"/>
        </w:rPr>
        <w:t>:</w:t>
      </w:r>
      <w:r w:rsidRPr="00732F7D">
        <w:rPr>
          <w:rFonts w:ascii="Arial" w:eastAsia="Arial" w:hAnsi="Arial" w:cs="Arial"/>
          <w:color w:val="0070C0"/>
        </w:rPr>
        <w:t xml:space="preserve"> </w:t>
      </w:r>
      <w:proofErr w:type="gramStart"/>
      <w:r w:rsidRPr="00732F7D">
        <w:rPr>
          <w:rFonts w:ascii="Arial" w:eastAsia="Arial" w:hAnsi="Arial" w:cs="Arial"/>
          <w:b/>
          <w:color w:val="0070C0"/>
        </w:rPr>
        <w:t>With regard to</w:t>
      </w:r>
      <w:proofErr w:type="gramEnd"/>
      <w:r w:rsidRPr="00732F7D">
        <w:rPr>
          <w:rFonts w:ascii="Arial" w:eastAsia="Arial" w:hAnsi="Arial" w:cs="Arial"/>
          <w:b/>
          <w:color w:val="0070C0"/>
        </w:rPr>
        <w:t xml:space="preserve"> the potential work programme marks, would a seismic purchase in Phase A gain a maximum of 20 points as detailed in the “Geotechnical work programme” section or 30 points (20 plus a potential 10 for short duration as detailed in the “Phase Timing Mark” section)?</w:t>
      </w:r>
      <w:r w:rsidRPr="00732F7D">
        <w:rPr>
          <w:rFonts w:ascii="Arial" w:eastAsia="Arial" w:hAnsi="Arial" w:cs="Arial"/>
          <w:color w:val="0070C0"/>
        </w:rPr>
        <w:t xml:space="preserve">  Likewise, shooting a new 3D seismic in Phase B, would that gain a maximum of 60 points as indicated in the Geotechnical Work Programme section or 100 (60 + 40 for short duration)?  Answer PA6 seems to indicate that 0 to 10 and 20 to 40 are only available for Phase A and B work programmes respectively.  </w:t>
      </w:r>
    </w:p>
    <w:p w14:paraId="3EFE7C56" w14:textId="77777777" w:rsidR="00364C49" w:rsidRPr="00732F7D" w:rsidRDefault="00364C49">
      <w:pPr>
        <w:rPr>
          <w:rFonts w:ascii="Arial" w:eastAsia="Arial" w:hAnsi="Arial" w:cs="Arial"/>
          <w:color w:val="0070C0"/>
        </w:rPr>
      </w:pPr>
      <w:r w:rsidRPr="00732F7D">
        <w:rPr>
          <w:rFonts w:ascii="Arial" w:eastAsia="Arial" w:hAnsi="Arial" w:cs="Arial"/>
          <w:color w:val="0070C0"/>
        </w:rPr>
        <w:t>Can I also confirm that you would potentially get zero marks for a proposed phase B work programme if you entered the licence in Phase A other than a potential 5 marks maximum for contingent seismic?  i.e. reprocess seismic in phase A with contingent new shoot seismic in phase B – you would only get 5 marks max for phase B.  Or, an EM study in Phase A and firm new seismic in phase B – again you would only get marked for your Phase A work programme as that’s the phase that you are entering.    </w:t>
      </w:r>
    </w:p>
    <w:p w14:paraId="43F4CB67" w14:textId="77777777" w:rsidR="00364C49" w:rsidRPr="00732F7D" w:rsidRDefault="00364C49" w:rsidP="00364C49">
      <w:pPr>
        <w:rPr>
          <w:rFonts w:ascii="Arial" w:hAnsi="Arial" w:cs="Arial"/>
          <w:color w:val="0070C0"/>
        </w:rPr>
      </w:pPr>
    </w:p>
    <w:p w14:paraId="212C184B"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lastRenderedPageBreak/>
        <w:t>PA</w:t>
      </w:r>
      <w:r w:rsidR="007828F0" w:rsidRPr="00732F7D">
        <w:rPr>
          <w:rFonts w:ascii="Arial" w:eastAsia="Arial" w:hAnsi="Arial" w:cs="Arial"/>
          <w:b/>
          <w:bCs/>
          <w:color w:val="0070C0"/>
        </w:rPr>
        <w:t>2</w:t>
      </w:r>
      <w:r w:rsidR="00302C1F" w:rsidRPr="00732F7D">
        <w:rPr>
          <w:rFonts w:ascii="Arial" w:eastAsia="Arial" w:hAnsi="Arial" w:cs="Arial"/>
          <w:b/>
          <w:bCs/>
          <w:color w:val="0070C0"/>
        </w:rPr>
        <w:t>2</w:t>
      </w:r>
      <w:r w:rsidRPr="00732F7D">
        <w:rPr>
          <w:rFonts w:ascii="Arial" w:eastAsia="Arial" w:hAnsi="Arial" w:cs="Arial"/>
          <w:b/>
          <w:bCs/>
          <w:color w:val="0070C0"/>
        </w:rPr>
        <w:t>:</w:t>
      </w:r>
      <w:r w:rsidRPr="00732F7D">
        <w:rPr>
          <w:rFonts w:ascii="Arial" w:eastAsia="Arial" w:hAnsi="Arial" w:cs="Arial"/>
          <w:color w:val="0070C0"/>
        </w:rPr>
        <w:t xml:space="preserve"> An Application where the Start Phase is Phase A could attract 20 marks for 3D seismic purchase (maximum; depending on the type of seismic data) plus 10 marks for phase timing (maximum; short phase timing). An Application where the Start Phase is Phase B (</w:t>
      </w:r>
      <w:proofErr w:type="spellStart"/>
      <w:r w:rsidRPr="00732F7D">
        <w:rPr>
          <w:rFonts w:ascii="Arial" w:eastAsia="Arial" w:hAnsi="Arial" w:cs="Arial"/>
          <w:color w:val="0070C0"/>
        </w:rPr>
        <w:t>ie</w:t>
      </w:r>
      <w:proofErr w:type="spellEnd"/>
      <w:r w:rsidRPr="00732F7D">
        <w:rPr>
          <w:rFonts w:ascii="Arial" w:eastAsia="Arial" w:hAnsi="Arial" w:cs="Arial"/>
          <w:color w:val="0070C0"/>
        </w:rPr>
        <w:t xml:space="preserve"> shooting new seismic) could attract 60 marks for the new 3D shoot seismic (maximum; depending on the type of seismic data) </w:t>
      </w:r>
      <w:proofErr w:type="gramStart"/>
      <w:r w:rsidRPr="00732F7D">
        <w:rPr>
          <w:rFonts w:ascii="Arial" w:eastAsia="Arial" w:hAnsi="Arial" w:cs="Arial"/>
          <w:color w:val="0070C0"/>
        </w:rPr>
        <w:t>plus  40</w:t>
      </w:r>
      <w:proofErr w:type="gramEnd"/>
      <w:r w:rsidRPr="00732F7D">
        <w:rPr>
          <w:rFonts w:ascii="Arial" w:eastAsia="Arial" w:hAnsi="Arial" w:cs="Arial"/>
          <w:color w:val="0070C0"/>
        </w:rPr>
        <w:t xml:space="preserve"> marks for phase timing (maximum; short phase timing) in addition to marks for previously purchased or reprocessed seismic which will attract the relevant marks in the ‘Geotechnical Database Used’ section . The answer to PQ6 only covered the Start Phase timing marks.</w:t>
      </w:r>
    </w:p>
    <w:p w14:paraId="33ACC1F9" w14:textId="77777777" w:rsidR="00364C49" w:rsidRPr="00732F7D" w:rsidRDefault="00364C49">
      <w:pPr>
        <w:rPr>
          <w:rFonts w:ascii="Arial" w:eastAsia="Arial" w:hAnsi="Arial" w:cs="Arial"/>
          <w:color w:val="0070C0"/>
        </w:rPr>
      </w:pPr>
      <w:r w:rsidRPr="00732F7D">
        <w:rPr>
          <w:rFonts w:ascii="Arial" w:eastAsia="Arial" w:hAnsi="Arial" w:cs="Arial"/>
          <w:color w:val="0070C0"/>
        </w:rPr>
        <w:t xml:space="preserve">If the Start Phase is Phase A then you would only attract marks pertaining to the Phase </w:t>
      </w:r>
      <w:proofErr w:type="gramStart"/>
      <w:r w:rsidRPr="00732F7D">
        <w:rPr>
          <w:rFonts w:ascii="Arial" w:eastAsia="Arial" w:hAnsi="Arial" w:cs="Arial"/>
          <w:color w:val="0070C0"/>
        </w:rPr>
        <w:t>A</w:t>
      </w:r>
      <w:proofErr w:type="gramEnd"/>
      <w:r w:rsidRPr="00732F7D">
        <w:rPr>
          <w:rFonts w:ascii="Arial" w:eastAsia="Arial" w:hAnsi="Arial" w:cs="Arial"/>
          <w:color w:val="0070C0"/>
        </w:rPr>
        <w:t xml:space="preserve"> Work Programme unless Contingent seismic is committed which will attract 5 additional marks. It should be noted that the decision as to whether the seismic should then be shot is ceded to the OGA, so where an Applicant was intending to move from Phase A to Phase C to drill a well without having shot the Phase B Contingent seismic, this would be assessed technically to ensure the new shoot seismic is not necessary to drill the well.  </w:t>
      </w:r>
    </w:p>
    <w:p w14:paraId="059A474D" w14:textId="77777777" w:rsidR="00364C49" w:rsidRPr="00732F7D" w:rsidRDefault="00364C49">
      <w:pPr>
        <w:rPr>
          <w:rFonts w:ascii="Arial" w:eastAsia="Arial" w:hAnsi="Arial" w:cs="Arial"/>
          <w:color w:val="0070C0"/>
        </w:rPr>
      </w:pPr>
      <w:r w:rsidRPr="00732F7D">
        <w:rPr>
          <w:rFonts w:ascii="Arial" w:eastAsia="Arial" w:hAnsi="Arial" w:cs="Arial"/>
          <w:color w:val="0070C0"/>
        </w:rPr>
        <w:t>For the final part of the question, if the new Seismic is being made as a Firm commitment then the Start Phase should be Phase B. There is nothing preventing studies at the same time. However, if the EM studies (or any other studies) are to be undertaken to inform whether new seismic should be shot, then that would be classed as Phase A start and Contingent seismic (as above).</w:t>
      </w:r>
    </w:p>
    <w:p w14:paraId="0AAE0049"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504DA38C" w14:textId="77777777" w:rsidR="00364C49" w:rsidRPr="00732F7D" w:rsidRDefault="00364C49">
      <w:pPr>
        <w:rPr>
          <w:rFonts w:ascii="Arial" w:eastAsia="Arial" w:hAnsi="Arial" w:cs="Arial"/>
          <w:b/>
          <w:color w:val="0070C0"/>
          <w:lang w:val="en-US"/>
        </w:rPr>
      </w:pPr>
      <w:r w:rsidRPr="00732F7D">
        <w:rPr>
          <w:rFonts w:ascii="Arial" w:eastAsia="Arial" w:hAnsi="Arial" w:cs="Arial"/>
          <w:b/>
          <w:bCs/>
          <w:color w:val="0070C0"/>
          <w:lang w:val="en-US"/>
        </w:rPr>
        <w:t>PQ</w:t>
      </w:r>
      <w:r w:rsidR="007828F0" w:rsidRPr="00732F7D">
        <w:rPr>
          <w:rFonts w:ascii="Arial" w:eastAsia="Arial" w:hAnsi="Arial" w:cs="Arial"/>
          <w:b/>
          <w:bCs/>
          <w:color w:val="0070C0"/>
          <w:lang w:val="en-US"/>
        </w:rPr>
        <w:t>2</w:t>
      </w:r>
      <w:r w:rsidR="00302C1F" w:rsidRPr="00732F7D">
        <w:rPr>
          <w:rFonts w:ascii="Arial" w:eastAsia="Arial" w:hAnsi="Arial" w:cs="Arial"/>
          <w:b/>
          <w:bCs/>
          <w:color w:val="0070C0"/>
          <w:lang w:val="en-US"/>
        </w:rPr>
        <w:t>3</w:t>
      </w:r>
      <w:r w:rsidRPr="00732F7D">
        <w:rPr>
          <w:rFonts w:ascii="Arial" w:eastAsia="Arial" w:hAnsi="Arial" w:cs="Arial"/>
          <w:b/>
          <w:bCs/>
          <w:color w:val="0070C0"/>
          <w:lang w:val="en-US"/>
        </w:rPr>
        <w:t>:</w:t>
      </w:r>
      <w:r w:rsidRPr="00732F7D">
        <w:rPr>
          <w:rFonts w:ascii="Arial" w:eastAsia="Arial" w:hAnsi="Arial" w:cs="Arial"/>
          <w:color w:val="0070C0"/>
          <w:lang w:val="en-US"/>
        </w:rPr>
        <w:t xml:space="preserve"> </w:t>
      </w:r>
      <w:r w:rsidRPr="00732F7D">
        <w:rPr>
          <w:rFonts w:ascii="Arial" w:eastAsia="Arial" w:hAnsi="Arial" w:cs="Arial"/>
          <w:b/>
          <w:color w:val="0070C0"/>
          <w:lang w:val="en-US"/>
        </w:rPr>
        <w:t xml:space="preserve">When defining the work </w:t>
      </w:r>
      <w:proofErr w:type="spellStart"/>
      <w:r w:rsidRPr="00732F7D">
        <w:rPr>
          <w:rFonts w:ascii="Arial" w:eastAsia="Arial" w:hAnsi="Arial" w:cs="Arial"/>
          <w:b/>
          <w:color w:val="0070C0"/>
          <w:lang w:val="en-US"/>
        </w:rPr>
        <w:t>programme</w:t>
      </w:r>
      <w:proofErr w:type="spellEnd"/>
      <w:r w:rsidRPr="00732F7D">
        <w:rPr>
          <w:rFonts w:ascii="Arial" w:eastAsia="Arial" w:hAnsi="Arial" w:cs="Arial"/>
          <w:b/>
          <w:color w:val="0070C0"/>
          <w:lang w:val="en-US"/>
        </w:rPr>
        <w:t xml:space="preserve"> on a block-by-block basis, a well commitment is required. </w:t>
      </w:r>
    </w:p>
    <w:p w14:paraId="4D880016" w14:textId="77777777" w:rsidR="00364C49" w:rsidRPr="00732F7D" w:rsidRDefault="00364C49">
      <w:pPr>
        <w:rPr>
          <w:rFonts w:ascii="Arial" w:eastAsia="Arial" w:hAnsi="Arial" w:cs="Arial"/>
          <w:color w:val="0070C0"/>
          <w:lang w:val="en-US"/>
        </w:rPr>
      </w:pPr>
      <w:r w:rsidRPr="00732F7D">
        <w:rPr>
          <w:rFonts w:ascii="Arial" w:eastAsia="Arial" w:hAnsi="Arial" w:cs="Arial"/>
          <w:color w:val="0070C0"/>
          <w:lang w:val="en-US"/>
        </w:rPr>
        <w:t xml:space="preserve">If a prospect is straddling block boundaries, is the well, intended to test the prospect to be listed for each of the blocks? In this case, on a per block basis, multiple wells would be listed, but the joint work </w:t>
      </w:r>
      <w:proofErr w:type="spellStart"/>
      <w:r w:rsidRPr="00732F7D">
        <w:rPr>
          <w:rFonts w:ascii="Arial" w:eastAsia="Arial" w:hAnsi="Arial" w:cs="Arial"/>
          <w:color w:val="0070C0"/>
          <w:lang w:val="en-US"/>
        </w:rPr>
        <w:t>programme</w:t>
      </w:r>
      <w:proofErr w:type="spellEnd"/>
      <w:r w:rsidRPr="00732F7D">
        <w:rPr>
          <w:rFonts w:ascii="Arial" w:eastAsia="Arial" w:hAnsi="Arial" w:cs="Arial"/>
          <w:color w:val="0070C0"/>
          <w:lang w:val="en-US"/>
        </w:rPr>
        <w:t xml:space="preserve"> for all blocks combined (the license work </w:t>
      </w:r>
      <w:proofErr w:type="spellStart"/>
      <w:r w:rsidRPr="00732F7D">
        <w:rPr>
          <w:rFonts w:ascii="Arial" w:eastAsia="Arial" w:hAnsi="Arial" w:cs="Arial"/>
          <w:color w:val="0070C0"/>
          <w:lang w:val="en-US"/>
        </w:rPr>
        <w:t>programme</w:t>
      </w:r>
      <w:proofErr w:type="spellEnd"/>
      <w:r w:rsidRPr="00732F7D">
        <w:rPr>
          <w:rFonts w:ascii="Arial" w:eastAsia="Arial" w:hAnsi="Arial" w:cs="Arial"/>
          <w:color w:val="0070C0"/>
          <w:lang w:val="en-US"/>
        </w:rPr>
        <w:t>) would only contain a single well.</w:t>
      </w:r>
    </w:p>
    <w:p w14:paraId="757817BE" w14:textId="77777777" w:rsidR="00364C49" w:rsidRPr="00732F7D" w:rsidRDefault="00364C49" w:rsidP="00364C49">
      <w:pPr>
        <w:rPr>
          <w:rFonts w:ascii="Arial" w:hAnsi="Arial" w:cs="Arial"/>
          <w:color w:val="0070C0"/>
        </w:rPr>
      </w:pPr>
    </w:p>
    <w:p w14:paraId="1B33C65E"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PA</w:t>
      </w:r>
      <w:r w:rsidR="007828F0" w:rsidRPr="00732F7D">
        <w:rPr>
          <w:rFonts w:ascii="Arial" w:eastAsia="Arial" w:hAnsi="Arial" w:cs="Arial"/>
          <w:b/>
          <w:bCs/>
          <w:color w:val="0070C0"/>
        </w:rPr>
        <w:t>2</w:t>
      </w:r>
      <w:r w:rsidR="00302C1F" w:rsidRPr="00732F7D">
        <w:rPr>
          <w:rFonts w:ascii="Arial" w:eastAsia="Arial" w:hAnsi="Arial" w:cs="Arial"/>
          <w:b/>
          <w:bCs/>
          <w:color w:val="0070C0"/>
        </w:rPr>
        <w:t>3</w:t>
      </w:r>
      <w:r w:rsidRPr="00732F7D">
        <w:rPr>
          <w:rFonts w:ascii="Arial" w:eastAsia="Arial" w:hAnsi="Arial" w:cs="Arial"/>
          <w:b/>
          <w:bCs/>
          <w:color w:val="0070C0"/>
        </w:rPr>
        <w:t>:</w:t>
      </w:r>
      <w:r w:rsidRPr="00732F7D">
        <w:rPr>
          <w:rFonts w:ascii="Arial" w:eastAsia="Arial" w:hAnsi="Arial" w:cs="Arial"/>
          <w:color w:val="0070C0"/>
        </w:rPr>
        <w:t xml:space="preserve"> Where it is obvious that a Prospect straddles one or more Blocks, the OGA will check the Joint Work Programme, which should only be for one well (whether Drill or Drop, Contingent, or Firm), as the Applicant sees fit. But a Work Programme for each Block should still be supplied, and if a Contingent or Firm well is being committed by the Applicant, the Work Programme for the Block where the well is recommended should contain that specific Work Programme.</w:t>
      </w:r>
    </w:p>
    <w:p w14:paraId="2C4DBED2" w14:textId="77777777" w:rsidR="00DC2B6E" w:rsidRPr="00732F7D" w:rsidRDefault="00DC2B6E" w:rsidP="00DC2B6E">
      <w:pPr>
        <w:jc w:val="center"/>
        <w:rPr>
          <w:rFonts w:ascii="Arial" w:eastAsia="Arial" w:hAnsi="Arial" w:cs="Arial"/>
          <w:color w:val="0070C0"/>
        </w:rPr>
      </w:pPr>
      <w:r w:rsidRPr="00732F7D">
        <w:rPr>
          <w:rFonts w:ascii="Arial" w:eastAsia="Arial" w:hAnsi="Arial" w:cs="Arial"/>
          <w:color w:val="0070C0"/>
        </w:rPr>
        <w:t>---------------------------------------------------------------------</w:t>
      </w:r>
    </w:p>
    <w:p w14:paraId="3D9E3A62"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PQ</w:t>
      </w:r>
      <w:r w:rsidR="007828F0" w:rsidRPr="00732F7D">
        <w:rPr>
          <w:rFonts w:ascii="Arial" w:eastAsia="Arial" w:hAnsi="Arial" w:cs="Arial"/>
          <w:b/>
          <w:bCs/>
          <w:color w:val="0070C0"/>
        </w:rPr>
        <w:t>2</w:t>
      </w:r>
      <w:r w:rsidR="00302C1F" w:rsidRPr="00732F7D">
        <w:rPr>
          <w:rFonts w:ascii="Arial" w:eastAsia="Arial" w:hAnsi="Arial" w:cs="Arial"/>
          <w:b/>
          <w:bCs/>
          <w:color w:val="0070C0"/>
        </w:rPr>
        <w:t>4</w:t>
      </w:r>
      <w:r w:rsidRPr="00732F7D">
        <w:rPr>
          <w:rFonts w:ascii="Arial" w:eastAsia="Arial" w:hAnsi="Arial" w:cs="Arial"/>
          <w:b/>
          <w:bCs/>
          <w:color w:val="0070C0"/>
        </w:rPr>
        <w:t>:</w:t>
      </w:r>
      <w:r w:rsidRPr="00732F7D">
        <w:rPr>
          <w:rFonts w:ascii="Arial" w:eastAsia="Arial" w:hAnsi="Arial" w:cs="Arial"/>
          <w:color w:val="0070C0"/>
        </w:rPr>
        <w:t xml:space="preserve"> </w:t>
      </w:r>
      <w:r w:rsidRPr="00732F7D">
        <w:rPr>
          <w:rFonts w:ascii="Arial" w:eastAsia="Arial" w:hAnsi="Arial" w:cs="Arial"/>
          <w:b/>
          <w:color w:val="0070C0"/>
        </w:rPr>
        <w:t>Can you clarify some confusion during a JV discussion on the initial term of a 3</w:t>
      </w:r>
      <w:r w:rsidR="00804F2B" w:rsidRPr="00732F7D">
        <w:rPr>
          <w:rFonts w:ascii="Arial" w:eastAsia="Arial" w:hAnsi="Arial" w:cs="Arial"/>
          <w:b/>
          <w:color w:val="0070C0"/>
        </w:rPr>
        <w:t>1</w:t>
      </w:r>
      <w:proofErr w:type="gramStart"/>
      <w:r w:rsidR="00804F2B" w:rsidRPr="00732F7D">
        <w:rPr>
          <w:rFonts w:ascii="Arial" w:eastAsia="Arial" w:hAnsi="Arial" w:cs="Arial"/>
          <w:b/>
          <w:color w:val="0070C0"/>
          <w:vertAlign w:val="superscript"/>
        </w:rPr>
        <w:t>st</w:t>
      </w:r>
      <w:r w:rsidR="00804F2B" w:rsidRPr="00732F7D">
        <w:rPr>
          <w:rFonts w:ascii="Arial" w:eastAsia="Arial" w:hAnsi="Arial" w:cs="Arial"/>
          <w:b/>
          <w:color w:val="0070C0"/>
        </w:rPr>
        <w:t xml:space="preserve"> </w:t>
      </w:r>
      <w:r w:rsidRPr="00732F7D">
        <w:rPr>
          <w:rFonts w:ascii="Arial" w:eastAsia="Arial" w:hAnsi="Arial" w:cs="Arial"/>
          <w:b/>
          <w:color w:val="0070C0"/>
        </w:rPr>
        <w:t xml:space="preserve"> Round</w:t>
      </w:r>
      <w:proofErr w:type="gramEnd"/>
      <w:r w:rsidRPr="00732F7D">
        <w:rPr>
          <w:rFonts w:ascii="Arial" w:eastAsia="Arial" w:hAnsi="Arial" w:cs="Arial"/>
          <w:b/>
          <w:color w:val="0070C0"/>
        </w:rPr>
        <w:t xml:space="preserve"> licen</w:t>
      </w:r>
      <w:r w:rsidR="00804F2B" w:rsidRPr="00732F7D">
        <w:rPr>
          <w:rFonts w:ascii="Arial" w:eastAsia="Arial" w:hAnsi="Arial" w:cs="Arial"/>
          <w:b/>
          <w:color w:val="0070C0"/>
        </w:rPr>
        <w:t>c</w:t>
      </w:r>
      <w:r w:rsidRPr="00732F7D">
        <w:rPr>
          <w:rFonts w:ascii="Arial" w:eastAsia="Arial" w:hAnsi="Arial" w:cs="Arial"/>
          <w:b/>
          <w:color w:val="0070C0"/>
        </w:rPr>
        <w:t>e.</w:t>
      </w:r>
    </w:p>
    <w:p w14:paraId="7A328F00" w14:textId="77777777" w:rsidR="00364C49" w:rsidRPr="00732F7D" w:rsidRDefault="00364C49">
      <w:pPr>
        <w:numPr>
          <w:ilvl w:val="0"/>
          <w:numId w:val="15"/>
        </w:numPr>
        <w:suppressAutoHyphens w:val="0"/>
        <w:rPr>
          <w:rFonts w:ascii="Arial" w:eastAsia="Arial" w:hAnsi="Arial" w:cs="Arial"/>
          <w:color w:val="0070C0"/>
        </w:rPr>
      </w:pPr>
      <w:r w:rsidRPr="00732F7D">
        <w:rPr>
          <w:rFonts w:ascii="Arial" w:eastAsia="Arial" w:hAnsi="Arial" w:cs="Arial"/>
          <w:color w:val="0070C0"/>
        </w:rPr>
        <w:t xml:space="preserve">the maximum period for a Phase A &amp;/or B holding is 4 years after which the company </w:t>
      </w:r>
      <w:proofErr w:type="gramStart"/>
      <w:r w:rsidRPr="00732F7D">
        <w:rPr>
          <w:rFonts w:ascii="Arial" w:eastAsia="Arial" w:hAnsi="Arial" w:cs="Arial"/>
          <w:color w:val="0070C0"/>
        </w:rPr>
        <w:t>has to</w:t>
      </w:r>
      <w:proofErr w:type="gramEnd"/>
      <w:r w:rsidRPr="00732F7D">
        <w:rPr>
          <w:rFonts w:ascii="Arial" w:eastAsia="Arial" w:hAnsi="Arial" w:cs="Arial"/>
          <w:color w:val="0070C0"/>
        </w:rPr>
        <w:t xml:space="preserve"> commit to drill a well or drop the block?</w:t>
      </w:r>
    </w:p>
    <w:p w14:paraId="00A4E532" w14:textId="77777777" w:rsidR="00364C49" w:rsidRPr="00732F7D" w:rsidRDefault="00364C49">
      <w:pPr>
        <w:numPr>
          <w:ilvl w:val="0"/>
          <w:numId w:val="15"/>
        </w:numPr>
        <w:suppressAutoHyphens w:val="0"/>
        <w:rPr>
          <w:rFonts w:ascii="Arial" w:eastAsia="Arial" w:hAnsi="Arial" w:cs="Arial"/>
          <w:color w:val="0070C0"/>
        </w:rPr>
      </w:pPr>
      <w:r w:rsidRPr="00732F7D">
        <w:rPr>
          <w:rFonts w:ascii="Arial" w:eastAsia="Arial" w:hAnsi="Arial" w:cs="Arial"/>
          <w:color w:val="0070C0"/>
        </w:rPr>
        <w:t>The initial term is 4 years including Drill or Drop which can only be extended to 6 years by exception.</w:t>
      </w:r>
    </w:p>
    <w:p w14:paraId="50F95BBF" w14:textId="77777777" w:rsidR="00364C49" w:rsidRPr="00732F7D" w:rsidRDefault="00364C49" w:rsidP="00364C49">
      <w:pPr>
        <w:pStyle w:val="ListParagraph"/>
        <w:rPr>
          <w:rFonts w:ascii="Arial" w:eastAsiaTheme="minorHAnsi" w:hAnsi="Arial" w:cs="Arial"/>
          <w:color w:val="0070C0"/>
        </w:rPr>
      </w:pPr>
    </w:p>
    <w:p w14:paraId="09418B27" w14:textId="77777777" w:rsidR="00364C49" w:rsidRPr="00732F7D" w:rsidRDefault="00364C49">
      <w:pPr>
        <w:rPr>
          <w:rFonts w:ascii="Arial" w:eastAsia="Arial" w:hAnsi="Arial" w:cs="Arial"/>
          <w:color w:val="0070C0"/>
        </w:rPr>
      </w:pPr>
      <w:r w:rsidRPr="00732F7D">
        <w:rPr>
          <w:rFonts w:ascii="Arial" w:eastAsia="Arial" w:hAnsi="Arial" w:cs="Arial"/>
          <w:b/>
          <w:bCs/>
          <w:color w:val="0070C0"/>
        </w:rPr>
        <w:t>PA</w:t>
      </w:r>
      <w:r w:rsidR="007828F0" w:rsidRPr="00732F7D">
        <w:rPr>
          <w:rFonts w:ascii="Arial" w:eastAsia="Arial" w:hAnsi="Arial" w:cs="Arial"/>
          <w:b/>
          <w:bCs/>
          <w:color w:val="0070C0"/>
        </w:rPr>
        <w:t>2</w:t>
      </w:r>
      <w:r w:rsidR="00302C1F" w:rsidRPr="00732F7D">
        <w:rPr>
          <w:rFonts w:ascii="Arial" w:eastAsia="Arial" w:hAnsi="Arial" w:cs="Arial"/>
          <w:b/>
          <w:bCs/>
          <w:color w:val="0070C0"/>
        </w:rPr>
        <w:t>4</w:t>
      </w:r>
      <w:r w:rsidRPr="00732F7D">
        <w:rPr>
          <w:rFonts w:ascii="Arial" w:eastAsia="Arial" w:hAnsi="Arial" w:cs="Arial"/>
          <w:b/>
          <w:bCs/>
          <w:color w:val="0070C0"/>
        </w:rPr>
        <w:t>:</w:t>
      </w:r>
      <w:r w:rsidRPr="00732F7D">
        <w:rPr>
          <w:rFonts w:ascii="Arial" w:eastAsia="Arial" w:hAnsi="Arial" w:cs="Arial"/>
          <w:color w:val="0070C0"/>
        </w:rPr>
        <w:t xml:space="preserve"> It may be easier to answer the questions together. Paragraphs 12 and 13 of the Technical Guidance provide the reference for this. For the 30</w:t>
      </w:r>
      <w:r w:rsidRPr="00732F7D">
        <w:rPr>
          <w:rFonts w:ascii="Arial" w:eastAsia="Arial" w:hAnsi="Arial" w:cs="Arial"/>
          <w:color w:val="0070C0"/>
          <w:vertAlign w:val="superscript"/>
        </w:rPr>
        <w:t>th</w:t>
      </w:r>
      <w:r w:rsidRPr="00732F7D">
        <w:rPr>
          <w:rFonts w:ascii="Arial" w:eastAsia="Arial" w:hAnsi="Arial" w:cs="Arial"/>
          <w:color w:val="0070C0"/>
        </w:rPr>
        <w:t xml:space="preserve"> Round the OGA </w:t>
      </w:r>
      <w:r w:rsidRPr="00732F7D">
        <w:rPr>
          <w:rFonts w:ascii="Arial" w:eastAsia="Arial" w:hAnsi="Arial" w:cs="Arial"/>
          <w:i/>
          <w:iCs/>
          <w:color w:val="0070C0"/>
        </w:rPr>
        <w:t>expect</w:t>
      </w:r>
      <w:r w:rsidR="00804F2B" w:rsidRPr="00732F7D">
        <w:rPr>
          <w:rFonts w:ascii="Arial" w:eastAsia="Arial" w:hAnsi="Arial" w:cs="Arial"/>
          <w:i/>
          <w:iCs/>
          <w:color w:val="0070C0"/>
        </w:rPr>
        <w:t>ed</w:t>
      </w:r>
      <w:r w:rsidRPr="00732F7D">
        <w:rPr>
          <w:rFonts w:ascii="Arial" w:eastAsia="Arial" w:hAnsi="Arial" w:cs="Arial"/>
          <w:i/>
          <w:iCs/>
          <w:color w:val="0070C0"/>
        </w:rPr>
        <w:t xml:space="preserve"> </w:t>
      </w:r>
      <w:r w:rsidRPr="00732F7D">
        <w:rPr>
          <w:rFonts w:ascii="Arial" w:eastAsia="Arial" w:hAnsi="Arial" w:cs="Arial"/>
          <w:color w:val="0070C0"/>
        </w:rPr>
        <w:t>that the overall Initial Term in most areas would be no longer than 6 years, and the Second Term the maximum duration no more than 4 years.</w:t>
      </w:r>
    </w:p>
    <w:p w14:paraId="3284112A" w14:textId="77777777" w:rsidR="00804F2B" w:rsidRPr="00732F7D" w:rsidRDefault="00804F2B">
      <w:pPr>
        <w:rPr>
          <w:rFonts w:ascii="Arial" w:eastAsia="Arial" w:hAnsi="Arial" w:cs="Arial"/>
          <w:color w:val="0070C0"/>
        </w:rPr>
      </w:pPr>
    </w:p>
    <w:p w14:paraId="0F93425D" w14:textId="77777777" w:rsidR="00804F2B" w:rsidRPr="00732F7D" w:rsidRDefault="00804F2B">
      <w:pPr>
        <w:rPr>
          <w:rFonts w:ascii="Arial" w:eastAsia="Arial" w:hAnsi="Arial" w:cs="Arial"/>
          <w:color w:val="0070C0"/>
        </w:rPr>
      </w:pPr>
      <w:r w:rsidRPr="00732F7D">
        <w:rPr>
          <w:rFonts w:ascii="Arial" w:eastAsia="Arial" w:hAnsi="Arial" w:cs="Arial"/>
          <w:color w:val="0070C0"/>
        </w:rPr>
        <w:t>For the 31</w:t>
      </w:r>
      <w:r w:rsidRPr="00732F7D">
        <w:rPr>
          <w:rFonts w:ascii="Arial" w:eastAsia="Arial" w:hAnsi="Arial" w:cs="Arial"/>
          <w:color w:val="0070C0"/>
          <w:vertAlign w:val="superscript"/>
        </w:rPr>
        <w:t>st</w:t>
      </w:r>
      <w:r w:rsidRPr="00732F7D">
        <w:rPr>
          <w:rFonts w:ascii="Arial" w:eastAsia="Arial" w:hAnsi="Arial" w:cs="Arial"/>
          <w:color w:val="0070C0"/>
        </w:rPr>
        <w:t xml:space="preserve"> Round, where acreage is considered more frontier, the Initial Term and Second term durations may be longer, but </w:t>
      </w:r>
      <w:r w:rsidR="00364C49" w:rsidRPr="00732F7D">
        <w:rPr>
          <w:rFonts w:ascii="Arial" w:eastAsia="Arial" w:hAnsi="Arial" w:cs="Arial"/>
          <w:color w:val="0070C0"/>
        </w:rPr>
        <w:t xml:space="preserve">we have set maxima at 9 years and 6 years respectively. </w:t>
      </w:r>
    </w:p>
    <w:p w14:paraId="1F65B5EA" w14:textId="77777777" w:rsidR="00364C49" w:rsidRPr="00732F7D" w:rsidRDefault="00364C49">
      <w:pPr>
        <w:rPr>
          <w:rFonts w:ascii="Arial" w:eastAsia="Arial" w:hAnsi="Arial" w:cs="Arial"/>
          <w:color w:val="0070C0"/>
        </w:rPr>
      </w:pPr>
      <w:r w:rsidRPr="00732F7D">
        <w:rPr>
          <w:rFonts w:ascii="Arial" w:eastAsia="Arial" w:hAnsi="Arial" w:cs="Arial"/>
          <w:color w:val="0070C0"/>
        </w:rPr>
        <w:lastRenderedPageBreak/>
        <w:t>The OGA would hope that, as the Licences are more flexible and are being requested to suit what the Applicants propose to carry out within a timeframe set by the Applicants, that Extensions to either (or both) Terms would not be necessary in future. However, they will be considered, on a case by case basis, and a charge applies.</w:t>
      </w:r>
    </w:p>
    <w:p w14:paraId="1C009A77" w14:textId="77777777" w:rsidR="00804F2B" w:rsidRPr="00732F7D" w:rsidRDefault="00804F2B">
      <w:pPr>
        <w:rPr>
          <w:rFonts w:ascii="Arial" w:eastAsia="Arial" w:hAnsi="Arial" w:cs="Arial"/>
          <w:color w:val="0070C0"/>
        </w:rPr>
      </w:pPr>
    </w:p>
    <w:p w14:paraId="5E329382" w14:textId="77777777" w:rsidR="00E85165" w:rsidRPr="00732F7D" w:rsidRDefault="00364C49">
      <w:pPr>
        <w:rPr>
          <w:rFonts w:ascii="Arial" w:eastAsia="Arial" w:hAnsi="Arial" w:cs="Arial"/>
          <w:color w:val="0070C0"/>
        </w:rPr>
      </w:pPr>
      <w:r w:rsidRPr="00732F7D">
        <w:rPr>
          <w:rFonts w:ascii="Arial" w:eastAsia="Arial" w:hAnsi="Arial" w:cs="Arial"/>
          <w:color w:val="0070C0"/>
        </w:rPr>
        <w:t xml:space="preserve">Within the Initial Term potentially comprising three Phases, each Phase </w:t>
      </w:r>
      <w:r w:rsidR="00804F2B" w:rsidRPr="00732F7D">
        <w:rPr>
          <w:rFonts w:ascii="Arial" w:eastAsia="Arial" w:hAnsi="Arial" w:cs="Arial"/>
          <w:color w:val="0070C0"/>
        </w:rPr>
        <w:t xml:space="preserve">in the more mature areas </w:t>
      </w:r>
      <w:r w:rsidRPr="00732F7D">
        <w:rPr>
          <w:rFonts w:ascii="Arial" w:eastAsia="Arial" w:hAnsi="Arial" w:cs="Arial"/>
          <w:color w:val="0070C0"/>
        </w:rPr>
        <w:t xml:space="preserve">can be of a maximum length of 4 years, but should ideally fit within the maximum Initial Term of 6 years (see above). </w:t>
      </w:r>
      <w:r w:rsidR="00E85165" w:rsidRPr="00732F7D">
        <w:rPr>
          <w:rFonts w:ascii="Arial" w:eastAsia="Arial" w:hAnsi="Arial" w:cs="Arial"/>
          <w:color w:val="0070C0"/>
        </w:rPr>
        <w:t xml:space="preserve">For the more frontier areas, the maximum length of the Initial Term should not exceed 9 years. The Examples below can be adjusted for that length (but shorter, realistic, timeframes are preferred in all cases).  </w:t>
      </w:r>
    </w:p>
    <w:p w14:paraId="5551B89E" w14:textId="77777777" w:rsidR="00364C49" w:rsidRPr="00732F7D" w:rsidRDefault="00364C49">
      <w:pPr>
        <w:rPr>
          <w:rFonts w:ascii="Arial" w:eastAsia="Arial" w:hAnsi="Arial" w:cs="Arial"/>
          <w:color w:val="0070C0"/>
        </w:rPr>
      </w:pPr>
      <w:r w:rsidRPr="00732F7D">
        <w:rPr>
          <w:rFonts w:ascii="Arial" w:eastAsia="Arial" w:hAnsi="Arial" w:cs="Arial"/>
          <w:color w:val="0070C0"/>
        </w:rPr>
        <w:t>Examples may be (but not limited to):</w:t>
      </w:r>
    </w:p>
    <w:p w14:paraId="3B246FCC" w14:textId="77777777" w:rsidR="00364C49" w:rsidRPr="00732F7D" w:rsidRDefault="00364C49">
      <w:pPr>
        <w:rPr>
          <w:rFonts w:ascii="Arial" w:eastAsia="Arial" w:hAnsi="Arial" w:cs="Arial"/>
          <w:color w:val="0070C0"/>
        </w:rPr>
      </w:pPr>
      <w:r w:rsidRPr="00732F7D">
        <w:rPr>
          <w:rFonts w:ascii="Arial" w:eastAsia="Arial" w:hAnsi="Arial" w:cs="Arial"/>
          <w:color w:val="0070C0"/>
        </w:rPr>
        <w:t xml:space="preserve">Phase A                2 </w:t>
      </w:r>
      <w:proofErr w:type="gramStart"/>
      <w:r w:rsidRPr="00732F7D">
        <w:rPr>
          <w:rFonts w:ascii="Arial" w:eastAsia="Arial" w:hAnsi="Arial" w:cs="Arial"/>
          <w:color w:val="0070C0"/>
        </w:rPr>
        <w:t>years  (</w:t>
      </w:r>
      <w:proofErr w:type="gramEnd"/>
      <w:r w:rsidRPr="00732F7D">
        <w:rPr>
          <w:rFonts w:ascii="Arial" w:eastAsia="Arial" w:hAnsi="Arial" w:cs="Arial"/>
          <w:color w:val="0070C0"/>
        </w:rPr>
        <w:t>Before the end of which Commit to new shoot seismic)</w:t>
      </w:r>
    </w:p>
    <w:p w14:paraId="7FE1BC3F" w14:textId="77777777" w:rsidR="00364C49" w:rsidRPr="00732F7D" w:rsidRDefault="00364C49">
      <w:pPr>
        <w:rPr>
          <w:rFonts w:ascii="Arial" w:eastAsia="Arial" w:hAnsi="Arial" w:cs="Arial"/>
          <w:color w:val="0070C0"/>
        </w:rPr>
      </w:pPr>
      <w:r w:rsidRPr="00732F7D">
        <w:rPr>
          <w:rFonts w:ascii="Arial" w:eastAsia="Arial" w:hAnsi="Arial" w:cs="Arial"/>
          <w:color w:val="0070C0"/>
        </w:rPr>
        <w:t>Phase B                2 years (Before the end of which Commit to a well to move into Phase C or drop the Licence)</w:t>
      </w:r>
    </w:p>
    <w:p w14:paraId="11FFC69C" w14:textId="77777777" w:rsidR="00364C49" w:rsidRPr="00732F7D" w:rsidRDefault="00364C49">
      <w:pPr>
        <w:rPr>
          <w:rFonts w:ascii="Arial" w:eastAsia="Arial" w:hAnsi="Arial" w:cs="Arial"/>
          <w:color w:val="0070C0"/>
        </w:rPr>
      </w:pPr>
      <w:r w:rsidRPr="00732F7D">
        <w:rPr>
          <w:rFonts w:ascii="Arial" w:eastAsia="Arial" w:hAnsi="Arial" w:cs="Arial"/>
          <w:color w:val="0070C0"/>
        </w:rPr>
        <w:t>Phase C                2 years</w:t>
      </w:r>
    </w:p>
    <w:p w14:paraId="1C72FCC1" w14:textId="77777777" w:rsidR="00364C49" w:rsidRPr="00732F7D" w:rsidRDefault="00364C49">
      <w:pPr>
        <w:rPr>
          <w:rFonts w:ascii="Arial" w:eastAsia="Arial" w:hAnsi="Arial" w:cs="Arial"/>
          <w:color w:val="0070C0"/>
        </w:rPr>
      </w:pPr>
      <w:r w:rsidRPr="00732F7D">
        <w:rPr>
          <w:rFonts w:ascii="Arial" w:eastAsia="Arial" w:hAnsi="Arial" w:cs="Arial"/>
          <w:color w:val="0070C0"/>
        </w:rPr>
        <w:t>OR</w:t>
      </w:r>
    </w:p>
    <w:p w14:paraId="025746CB" w14:textId="77777777" w:rsidR="00364C49" w:rsidRPr="00732F7D" w:rsidRDefault="00364C49">
      <w:pPr>
        <w:rPr>
          <w:rFonts w:ascii="Arial" w:eastAsia="Arial" w:hAnsi="Arial" w:cs="Arial"/>
          <w:color w:val="0070C0"/>
        </w:rPr>
      </w:pPr>
      <w:r w:rsidRPr="00732F7D">
        <w:rPr>
          <w:rFonts w:ascii="Arial" w:eastAsia="Arial" w:hAnsi="Arial" w:cs="Arial"/>
          <w:color w:val="0070C0"/>
        </w:rPr>
        <w:t>Phase A                1 year </w:t>
      </w:r>
      <w:proofErr w:type="gramStart"/>
      <w:r w:rsidRPr="00732F7D">
        <w:rPr>
          <w:rFonts w:ascii="Arial" w:eastAsia="Arial" w:hAnsi="Arial" w:cs="Arial"/>
          <w:color w:val="0070C0"/>
        </w:rPr>
        <w:t>   (</w:t>
      </w:r>
      <w:proofErr w:type="gramEnd"/>
      <w:r w:rsidRPr="00732F7D">
        <w:rPr>
          <w:rFonts w:ascii="Arial" w:eastAsia="Arial" w:hAnsi="Arial" w:cs="Arial"/>
          <w:color w:val="0070C0"/>
        </w:rPr>
        <w:t>Before the end of which Commit to new shoot seismic, or  - subject to any Contingency – Commit to drill a Firm well with no Phase B necessary)</w:t>
      </w:r>
    </w:p>
    <w:p w14:paraId="69438294" w14:textId="77777777" w:rsidR="00364C49" w:rsidRPr="00732F7D" w:rsidRDefault="00364C49">
      <w:pPr>
        <w:rPr>
          <w:rFonts w:ascii="Arial" w:eastAsia="Arial" w:hAnsi="Arial" w:cs="Arial"/>
          <w:color w:val="0070C0"/>
        </w:rPr>
      </w:pPr>
      <w:r w:rsidRPr="00732F7D">
        <w:rPr>
          <w:rFonts w:ascii="Arial" w:eastAsia="Arial" w:hAnsi="Arial" w:cs="Arial"/>
          <w:color w:val="0070C0"/>
        </w:rPr>
        <w:t xml:space="preserve">Phase B                2 </w:t>
      </w:r>
      <w:proofErr w:type="gramStart"/>
      <w:r w:rsidRPr="00732F7D">
        <w:rPr>
          <w:rFonts w:ascii="Arial" w:eastAsia="Arial" w:hAnsi="Arial" w:cs="Arial"/>
          <w:color w:val="0070C0"/>
        </w:rPr>
        <w:t>years  (</w:t>
      </w:r>
      <w:proofErr w:type="gramEnd"/>
      <w:r w:rsidRPr="00732F7D">
        <w:rPr>
          <w:rFonts w:ascii="Arial" w:eastAsia="Arial" w:hAnsi="Arial" w:cs="Arial"/>
          <w:color w:val="0070C0"/>
        </w:rPr>
        <w:t>Before the end of which Commit to a well to move into Phase C or drop the Licence)</w:t>
      </w:r>
    </w:p>
    <w:p w14:paraId="5DF567BE" w14:textId="77777777" w:rsidR="00364C49" w:rsidRPr="00732F7D" w:rsidRDefault="00364C49">
      <w:pPr>
        <w:rPr>
          <w:rFonts w:ascii="Arial" w:eastAsia="Arial" w:hAnsi="Arial" w:cs="Arial"/>
          <w:color w:val="0070C0"/>
        </w:rPr>
      </w:pPr>
      <w:r w:rsidRPr="00732F7D">
        <w:rPr>
          <w:rFonts w:ascii="Arial" w:eastAsia="Arial" w:hAnsi="Arial" w:cs="Arial"/>
          <w:color w:val="0070C0"/>
        </w:rPr>
        <w:t>Phase C                3 years</w:t>
      </w:r>
    </w:p>
    <w:p w14:paraId="2A99DE28" w14:textId="77777777" w:rsidR="00364C49" w:rsidRPr="00732F7D" w:rsidRDefault="00364C49">
      <w:pPr>
        <w:rPr>
          <w:rFonts w:ascii="Arial" w:eastAsia="Arial" w:hAnsi="Arial" w:cs="Arial"/>
          <w:color w:val="0070C0"/>
        </w:rPr>
      </w:pPr>
      <w:r w:rsidRPr="00732F7D">
        <w:rPr>
          <w:rFonts w:ascii="Arial" w:eastAsia="Arial" w:hAnsi="Arial" w:cs="Arial"/>
          <w:color w:val="0070C0"/>
        </w:rPr>
        <w:t xml:space="preserve">OR </w:t>
      </w:r>
    </w:p>
    <w:p w14:paraId="6BEC8137" w14:textId="77777777" w:rsidR="00364C49" w:rsidRPr="00732F7D" w:rsidRDefault="00364C49">
      <w:pPr>
        <w:rPr>
          <w:rFonts w:ascii="Arial" w:eastAsia="Arial" w:hAnsi="Arial" w:cs="Arial"/>
          <w:color w:val="0070C0"/>
        </w:rPr>
      </w:pPr>
      <w:r w:rsidRPr="00732F7D">
        <w:rPr>
          <w:rFonts w:ascii="Arial" w:eastAsia="Arial" w:hAnsi="Arial" w:cs="Arial"/>
          <w:color w:val="0070C0"/>
        </w:rPr>
        <w:t>Phase A                1 year </w:t>
      </w:r>
      <w:proofErr w:type="gramStart"/>
      <w:r w:rsidRPr="00732F7D">
        <w:rPr>
          <w:rFonts w:ascii="Arial" w:eastAsia="Arial" w:hAnsi="Arial" w:cs="Arial"/>
          <w:color w:val="0070C0"/>
        </w:rPr>
        <w:t>   (</w:t>
      </w:r>
      <w:proofErr w:type="gramEnd"/>
      <w:r w:rsidRPr="00732F7D">
        <w:rPr>
          <w:rFonts w:ascii="Arial" w:eastAsia="Arial" w:hAnsi="Arial" w:cs="Arial"/>
          <w:color w:val="0070C0"/>
        </w:rPr>
        <w:t>Before the end of which Commit to a well to move into Phase C or drop the Licence)</w:t>
      </w:r>
    </w:p>
    <w:p w14:paraId="6B260F44" w14:textId="77777777" w:rsidR="00364C49" w:rsidRPr="00732F7D" w:rsidRDefault="00364C49">
      <w:pPr>
        <w:rPr>
          <w:rFonts w:ascii="Arial" w:eastAsia="Arial" w:hAnsi="Arial" w:cs="Arial"/>
          <w:color w:val="0070C0"/>
        </w:rPr>
      </w:pPr>
      <w:r w:rsidRPr="00732F7D">
        <w:rPr>
          <w:rFonts w:ascii="Arial" w:eastAsia="Arial" w:hAnsi="Arial" w:cs="Arial"/>
          <w:color w:val="0070C0"/>
        </w:rPr>
        <w:t>Phase B               N/A if no new seismic is proposed</w:t>
      </w:r>
    </w:p>
    <w:p w14:paraId="2E24A04F" w14:textId="77777777" w:rsidR="00364C49" w:rsidRPr="00732F7D" w:rsidRDefault="00364C49">
      <w:pPr>
        <w:rPr>
          <w:rFonts w:ascii="Arial" w:eastAsia="Arial" w:hAnsi="Arial" w:cs="Arial"/>
          <w:color w:val="0070C0"/>
        </w:rPr>
      </w:pPr>
      <w:r w:rsidRPr="00732F7D">
        <w:rPr>
          <w:rFonts w:ascii="Arial" w:eastAsia="Arial" w:hAnsi="Arial" w:cs="Arial"/>
          <w:color w:val="0070C0"/>
        </w:rPr>
        <w:t>Phase C                4 years</w:t>
      </w:r>
    </w:p>
    <w:p w14:paraId="4E26D33C" w14:textId="77777777" w:rsidR="00364C49" w:rsidRPr="00732F7D" w:rsidRDefault="00364C49">
      <w:pPr>
        <w:rPr>
          <w:rFonts w:ascii="Arial" w:eastAsia="Arial" w:hAnsi="Arial" w:cs="Arial"/>
          <w:color w:val="0070C0"/>
        </w:rPr>
      </w:pPr>
      <w:r w:rsidRPr="00732F7D">
        <w:rPr>
          <w:rFonts w:ascii="Arial" w:eastAsia="Arial" w:hAnsi="Arial" w:cs="Arial"/>
          <w:color w:val="0070C0"/>
        </w:rPr>
        <w:t>OR</w:t>
      </w:r>
    </w:p>
    <w:p w14:paraId="42828B26" w14:textId="77777777" w:rsidR="00364C49" w:rsidRPr="00732F7D" w:rsidRDefault="00364C49">
      <w:pPr>
        <w:rPr>
          <w:rFonts w:ascii="Arial" w:eastAsia="Arial" w:hAnsi="Arial" w:cs="Arial"/>
          <w:color w:val="0070C0"/>
        </w:rPr>
      </w:pPr>
      <w:r w:rsidRPr="00732F7D">
        <w:rPr>
          <w:rFonts w:ascii="Arial" w:eastAsia="Arial" w:hAnsi="Arial" w:cs="Arial"/>
          <w:color w:val="0070C0"/>
        </w:rPr>
        <w:t>Phase A                N/A if no studies proposed</w:t>
      </w:r>
    </w:p>
    <w:p w14:paraId="25210F4B" w14:textId="77777777" w:rsidR="00364C49" w:rsidRPr="00732F7D" w:rsidRDefault="00364C49">
      <w:pPr>
        <w:rPr>
          <w:rFonts w:ascii="Arial" w:eastAsia="Arial" w:hAnsi="Arial" w:cs="Arial"/>
          <w:color w:val="0070C0"/>
        </w:rPr>
      </w:pPr>
      <w:r w:rsidRPr="00732F7D">
        <w:rPr>
          <w:rFonts w:ascii="Arial" w:eastAsia="Arial" w:hAnsi="Arial" w:cs="Arial"/>
          <w:color w:val="0070C0"/>
        </w:rPr>
        <w:t>Phase B                3 years (Firm new seismic)</w:t>
      </w:r>
    </w:p>
    <w:p w14:paraId="00546599" w14:textId="77777777" w:rsidR="00364C49" w:rsidRPr="00732F7D" w:rsidRDefault="00364C49">
      <w:pPr>
        <w:rPr>
          <w:rFonts w:ascii="Arial" w:eastAsia="Arial" w:hAnsi="Arial" w:cs="Arial"/>
          <w:color w:val="0070C0"/>
        </w:rPr>
      </w:pPr>
      <w:r w:rsidRPr="00732F7D">
        <w:rPr>
          <w:rFonts w:ascii="Arial" w:eastAsia="Arial" w:hAnsi="Arial" w:cs="Arial"/>
          <w:color w:val="0070C0"/>
        </w:rPr>
        <w:t>Phase C                3 years</w:t>
      </w:r>
    </w:p>
    <w:p w14:paraId="40CA5EA5" w14:textId="77777777" w:rsidR="00364C49" w:rsidRPr="00732F7D" w:rsidRDefault="00364C49">
      <w:pPr>
        <w:rPr>
          <w:rFonts w:ascii="Arial" w:eastAsia="Arial" w:hAnsi="Arial" w:cs="Arial"/>
          <w:color w:val="0070C0"/>
        </w:rPr>
      </w:pPr>
      <w:r w:rsidRPr="00732F7D">
        <w:rPr>
          <w:rFonts w:ascii="Arial" w:eastAsia="Arial" w:hAnsi="Arial" w:cs="Arial"/>
          <w:color w:val="0070C0"/>
        </w:rPr>
        <w:t>OR</w:t>
      </w:r>
    </w:p>
    <w:p w14:paraId="2E9DC566" w14:textId="77777777" w:rsidR="00364C49" w:rsidRPr="00732F7D" w:rsidRDefault="00364C49">
      <w:pPr>
        <w:rPr>
          <w:rFonts w:ascii="Arial" w:eastAsia="Arial" w:hAnsi="Arial" w:cs="Arial"/>
          <w:color w:val="0070C0"/>
        </w:rPr>
      </w:pPr>
      <w:r w:rsidRPr="00732F7D">
        <w:rPr>
          <w:rFonts w:ascii="Arial" w:eastAsia="Arial" w:hAnsi="Arial" w:cs="Arial"/>
          <w:color w:val="0070C0"/>
        </w:rPr>
        <w:t>Phase A                N/A</w:t>
      </w:r>
    </w:p>
    <w:p w14:paraId="75AA99AA" w14:textId="77777777" w:rsidR="00364C49" w:rsidRPr="00732F7D" w:rsidRDefault="00364C49">
      <w:pPr>
        <w:rPr>
          <w:rFonts w:ascii="Arial" w:eastAsia="Arial" w:hAnsi="Arial" w:cs="Arial"/>
          <w:color w:val="0070C0"/>
        </w:rPr>
      </w:pPr>
      <w:r w:rsidRPr="00732F7D">
        <w:rPr>
          <w:rFonts w:ascii="Arial" w:eastAsia="Arial" w:hAnsi="Arial" w:cs="Arial"/>
          <w:color w:val="0070C0"/>
        </w:rPr>
        <w:t>Phase B                N/A</w:t>
      </w:r>
    </w:p>
    <w:p w14:paraId="2CD61721" w14:textId="77777777" w:rsidR="00364C49" w:rsidRPr="00732F7D" w:rsidRDefault="00364C49">
      <w:pPr>
        <w:rPr>
          <w:rFonts w:ascii="Arial" w:eastAsia="Arial" w:hAnsi="Arial" w:cs="Arial"/>
          <w:color w:val="0070C0"/>
        </w:rPr>
      </w:pPr>
      <w:r w:rsidRPr="00732F7D">
        <w:rPr>
          <w:rFonts w:ascii="Arial" w:eastAsia="Arial" w:hAnsi="Arial" w:cs="Arial"/>
          <w:color w:val="0070C0"/>
        </w:rPr>
        <w:t xml:space="preserve">Phase C                4 </w:t>
      </w:r>
      <w:proofErr w:type="gramStart"/>
      <w:r w:rsidRPr="00732F7D">
        <w:rPr>
          <w:rFonts w:ascii="Arial" w:eastAsia="Arial" w:hAnsi="Arial" w:cs="Arial"/>
          <w:color w:val="0070C0"/>
        </w:rPr>
        <w:t>years  (</w:t>
      </w:r>
      <w:proofErr w:type="gramEnd"/>
      <w:r w:rsidRPr="00732F7D">
        <w:rPr>
          <w:rFonts w:ascii="Arial" w:eastAsia="Arial" w:hAnsi="Arial" w:cs="Arial"/>
          <w:color w:val="0070C0"/>
        </w:rPr>
        <w:t>Firm well commitment; well to be drilled within 4 years where well planning is the only outstanding work)</w:t>
      </w:r>
      <w:r w:rsidR="00804F2B" w:rsidRPr="00732F7D">
        <w:rPr>
          <w:rFonts w:ascii="Arial" w:eastAsia="Arial" w:hAnsi="Arial" w:cs="Arial"/>
          <w:color w:val="0070C0"/>
        </w:rPr>
        <w:t>.</w:t>
      </w:r>
    </w:p>
    <w:p w14:paraId="2C4216F2" w14:textId="77777777" w:rsidR="00B510B3" w:rsidRPr="00732F7D" w:rsidRDefault="00B510B3" w:rsidP="00EA2340">
      <w:pPr>
        <w:jc w:val="both"/>
        <w:rPr>
          <w:rFonts w:ascii="Arial" w:hAnsi="Arial" w:cs="Arial"/>
          <w:b/>
          <w:color w:val="0070C0"/>
          <w:u w:val="single"/>
        </w:rPr>
      </w:pPr>
    </w:p>
    <w:p w14:paraId="7E77001A" w14:textId="77777777" w:rsidR="001778DE" w:rsidRPr="00732F7D" w:rsidRDefault="001778DE" w:rsidP="00EA2340">
      <w:pPr>
        <w:jc w:val="both"/>
        <w:rPr>
          <w:rFonts w:ascii="Arial" w:hAnsi="Arial" w:cs="Arial"/>
          <w:b/>
          <w:color w:val="0070C0"/>
          <w:u w:val="single"/>
        </w:rPr>
      </w:pPr>
    </w:p>
    <w:p w14:paraId="364BDC82" w14:textId="77777777" w:rsidR="001778DE" w:rsidRPr="00732F7D" w:rsidRDefault="001778DE" w:rsidP="00EA2340">
      <w:pPr>
        <w:jc w:val="both"/>
        <w:rPr>
          <w:rFonts w:ascii="Arial" w:hAnsi="Arial" w:cs="Arial"/>
          <w:b/>
          <w:u w:val="single"/>
        </w:rPr>
      </w:pPr>
    </w:p>
    <w:p w14:paraId="175732D5" w14:textId="77777777" w:rsidR="001778DE" w:rsidRDefault="001778DE" w:rsidP="00EA2340">
      <w:pPr>
        <w:jc w:val="both"/>
        <w:rPr>
          <w:rFonts w:ascii="Arial" w:hAnsi="Arial" w:cs="Arial"/>
          <w:b/>
          <w:sz w:val="22"/>
          <w:szCs w:val="22"/>
          <w:u w:val="single"/>
        </w:rPr>
      </w:pPr>
    </w:p>
    <w:p w14:paraId="0745D36C" w14:textId="77777777" w:rsidR="001778DE" w:rsidRPr="00E81AE5" w:rsidRDefault="001778DE" w:rsidP="00EA2340">
      <w:pPr>
        <w:jc w:val="both"/>
        <w:rPr>
          <w:rFonts w:ascii="Arial" w:hAnsi="Arial" w:cs="Arial"/>
          <w:b/>
          <w:sz w:val="22"/>
          <w:szCs w:val="22"/>
          <w:u w:val="single"/>
        </w:rPr>
      </w:pPr>
    </w:p>
    <w:p w14:paraId="1CCC98FF" w14:textId="77777777" w:rsidR="007E0A6B" w:rsidRPr="00E81AE5" w:rsidRDefault="007E0A6B" w:rsidP="007E0A6B">
      <w:pPr>
        <w:jc w:val="center"/>
        <w:rPr>
          <w:rFonts w:ascii="Arial" w:eastAsia="Arial" w:hAnsi="Arial" w:cs="Arial"/>
          <w:sz w:val="22"/>
          <w:szCs w:val="22"/>
        </w:rPr>
      </w:pPr>
      <w:r w:rsidRPr="00E81AE5">
        <w:rPr>
          <w:rFonts w:ascii="Arial" w:eastAsia="Arial" w:hAnsi="Arial" w:cs="Arial"/>
          <w:sz w:val="22"/>
          <w:szCs w:val="22"/>
        </w:rPr>
        <w:t>---------------------------------------------------------------------</w:t>
      </w:r>
    </w:p>
    <w:p w14:paraId="70164267" w14:textId="77777777" w:rsidR="00364C49" w:rsidRPr="00E81AE5" w:rsidRDefault="00364C49" w:rsidP="00EA2340">
      <w:pPr>
        <w:jc w:val="both"/>
        <w:rPr>
          <w:rFonts w:ascii="Arial" w:hAnsi="Arial" w:cs="Arial"/>
          <w:b/>
          <w:sz w:val="22"/>
          <w:szCs w:val="22"/>
          <w:u w:val="single"/>
        </w:rPr>
      </w:pPr>
    </w:p>
    <w:p w14:paraId="20FE6C78" w14:textId="77777777" w:rsidR="00576F37" w:rsidRPr="00E81AE5" w:rsidRDefault="00576F37" w:rsidP="00EA2340">
      <w:pPr>
        <w:jc w:val="both"/>
        <w:rPr>
          <w:rFonts w:ascii="Arial" w:hAnsi="Arial" w:cs="Arial"/>
          <w:b/>
          <w:sz w:val="22"/>
          <w:szCs w:val="22"/>
          <w:u w:val="single"/>
        </w:rPr>
      </w:pPr>
    </w:p>
    <w:p w14:paraId="5B940598" w14:textId="77777777" w:rsidR="002A6301" w:rsidRDefault="002A6301">
      <w:pPr>
        <w:jc w:val="both"/>
        <w:rPr>
          <w:rFonts w:ascii="Arial" w:eastAsia="Arial" w:hAnsi="Arial" w:cs="Arial"/>
          <w:b/>
          <w:bCs/>
          <w:u w:val="single"/>
        </w:rPr>
      </w:pPr>
    </w:p>
    <w:p w14:paraId="58A7756E" w14:textId="77777777" w:rsidR="002A6301" w:rsidRDefault="002A6301">
      <w:pPr>
        <w:jc w:val="both"/>
        <w:rPr>
          <w:rFonts w:ascii="Arial" w:eastAsia="Arial" w:hAnsi="Arial" w:cs="Arial"/>
          <w:b/>
          <w:bCs/>
          <w:u w:val="single"/>
        </w:rPr>
      </w:pPr>
    </w:p>
    <w:p w14:paraId="2B50D54E" w14:textId="77777777" w:rsidR="002A6301" w:rsidRDefault="002A6301">
      <w:pPr>
        <w:jc w:val="both"/>
        <w:rPr>
          <w:rFonts w:ascii="Arial" w:eastAsia="Arial" w:hAnsi="Arial" w:cs="Arial"/>
          <w:b/>
          <w:bCs/>
          <w:u w:val="single"/>
        </w:rPr>
      </w:pPr>
    </w:p>
    <w:p w14:paraId="5713CABB" w14:textId="77777777" w:rsidR="002A6301" w:rsidRDefault="002A6301">
      <w:pPr>
        <w:jc w:val="both"/>
        <w:rPr>
          <w:rFonts w:ascii="Arial" w:eastAsia="Arial" w:hAnsi="Arial" w:cs="Arial"/>
          <w:b/>
          <w:bCs/>
          <w:u w:val="single"/>
        </w:rPr>
      </w:pPr>
    </w:p>
    <w:p w14:paraId="2D554705" w14:textId="77777777" w:rsidR="002A6301" w:rsidRDefault="002A6301">
      <w:pPr>
        <w:jc w:val="both"/>
        <w:rPr>
          <w:rFonts w:ascii="Arial" w:eastAsia="Arial" w:hAnsi="Arial" w:cs="Arial"/>
          <w:b/>
          <w:bCs/>
          <w:u w:val="single"/>
        </w:rPr>
      </w:pPr>
    </w:p>
    <w:p w14:paraId="3B92518D" w14:textId="77777777" w:rsidR="002A6301" w:rsidRDefault="002A6301">
      <w:pPr>
        <w:jc w:val="both"/>
        <w:rPr>
          <w:rFonts w:ascii="Arial" w:eastAsia="Arial" w:hAnsi="Arial" w:cs="Arial"/>
          <w:b/>
          <w:bCs/>
          <w:u w:val="single"/>
        </w:rPr>
      </w:pPr>
    </w:p>
    <w:p w14:paraId="774F53AE" w14:textId="77777777" w:rsidR="00490CE8" w:rsidRPr="00C24B4D" w:rsidRDefault="00490CE8" w:rsidP="00490CE8"/>
    <w:p w14:paraId="394A22A9" w14:textId="77777777" w:rsidR="00490CE8" w:rsidRDefault="00490CE8" w:rsidP="00EA2340">
      <w:pPr>
        <w:jc w:val="both"/>
        <w:rPr>
          <w:rFonts w:ascii="Arial" w:hAnsi="Arial" w:cs="Arial"/>
          <w:sz w:val="22"/>
          <w:szCs w:val="22"/>
        </w:rPr>
      </w:pPr>
    </w:p>
    <w:p w14:paraId="6C208F53" w14:textId="77777777" w:rsidR="00490CE8" w:rsidRPr="00E81AE5" w:rsidRDefault="00490CE8" w:rsidP="00EA2340">
      <w:pPr>
        <w:jc w:val="both"/>
        <w:rPr>
          <w:rFonts w:ascii="Arial" w:hAnsi="Arial" w:cs="Arial"/>
          <w:sz w:val="22"/>
          <w:szCs w:val="22"/>
        </w:rPr>
      </w:pPr>
    </w:p>
    <w:sectPr w:rsidR="00490CE8" w:rsidRPr="00E81AE5" w:rsidSect="0090592C">
      <w:footnotePr>
        <w:pos w:val="beneathText"/>
      </w:footnotePr>
      <w:pgSz w:w="11905" w:h="16837"/>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3C7DB1"/>
    <w:multiLevelType w:val="hybridMultilevel"/>
    <w:tmpl w:val="7D7EB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F7270"/>
    <w:multiLevelType w:val="hybridMultilevel"/>
    <w:tmpl w:val="3ECC9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23022B"/>
    <w:multiLevelType w:val="hybridMultilevel"/>
    <w:tmpl w:val="236649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A220C4"/>
    <w:multiLevelType w:val="hybridMultilevel"/>
    <w:tmpl w:val="3ECC9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AE1B29"/>
    <w:multiLevelType w:val="hybridMultilevel"/>
    <w:tmpl w:val="0ADAC846"/>
    <w:lvl w:ilvl="0" w:tplc="D16CD0C4">
      <w:start w:val="1"/>
      <w:numFmt w:val="lowerLetter"/>
      <w:lvlText w:val="%1)"/>
      <w:lvlJc w:val="left"/>
      <w:pPr>
        <w:ind w:left="2061" w:hanging="360"/>
      </w:pPr>
      <w:rPr>
        <w:rFonts w:ascii="Arial" w:eastAsia="Calibri" w:hAnsi="Arial" w:cs="Arial"/>
      </w:rPr>
    </w:lvl>
    <w:lvl w:ilvl="1" w:tplc="08090019">
      <w:start w:val="1"/>
      <w:numFmt w:val="decimal"/>
      <w:lvlText w:val="%2."/>
      <w:lvlJc w:val="left"/>
      <w:pPr>
        <w:tabs>
          <w:tab w:val="num" w:pos="2149"/>
        </w:tabs>
        <w:ind w:left="2149" w:hanging="360"/>
      </w:pPr>
    </w:lvl>
    <w:lvl w:ilvl="2" w:tplc="0809001B">
      <w:start w:val="1"/>
      <w:numFmt w:val="decimal"/>
      <w:lvlText w:val="%3."/>
      <w:lvlJc w:val="left"/>
      <w:pPr>
        <w:tabs>
          <w:tab w:val="num" w:pos="2869"/>
        </w:tabs>
        <w:ind w:left="2869" w:hanging="360"/>
      </w:pPr>
    </w:lvl>
    <w:lvl w:ilvl="3" w:tplc="0809000F">
      <w:start w:val="1"/>
      <w:numFmt w:val="decimal"/>
      <w:lvlText w:val="%4."/>
      <w:lvlJc w:val="left"/>
      <w:pPr>
        <w:tabs>
          <w:tab w:val="num" w:pos="3589"/>
        </w:tabs>
        <w:ind w:left="3589" w:hanging="360"/>
      </w:pPr>
    </w:lvl>
    <w:lvl w:ilvl="4" w:tplc="08090019">
      <w:start w:val="1"/>
      <w:numFmt w:val="decimal"/>
      <w:lvlText w:val="%5."/>
      <w:lvlJc w:val="left"/>
      <w:pPr>
        <w:tabs>
          <w:tab w:val="num" w:pos="4309"/>
        </w:tabs>
        <w:ind w:left="4309" w:hanging="360"/>
      </w:pPr>
    </w:lvl>
    <w:lvl w:ilvl="5" w:tplc="0809001B">
      <w:start w:val="1"/>
      <w:numFmt w:val="decimal"/>
      <w:lvlText w:val="%6."/>
      <w:lvlJc w:val="left"/>
      <w:pPr>
        <w:tabs>
          <w:tab w:val="num" w:pos="5029"/>
        </w:tabs>
        <w:ind w:left="5029" w:hanging="360"/>
      </w:pPr>
    </w:lvl>
    <w:lvl w:ilvl="6" w:tplc="0809000F">
      <w:start w:val="1"/>
      <w:numFmt w:val="decimal"/>
      <w:lvlText w:val="%7."/>
      <w:lvlJc w:val="left"/>
      <w:pPr>
        <w:tabs>
          <w:tab w:val="num" w:pos="5749"/>
        </w:tabs>
        <w:ind w:left="5749" w:hanging="360"/>
      </w:pPr>
    </w:lvl>
    <w:lvl w:ilvl="7" w:tplc="08090019">
      <w:start w:val="1"/>
      <w:numFmt w:val="decimal"/>
      <w:lvlText w:val="%8."/>
      <w:lvlJc w:val="left"/>
      <w:pPr>
        <w:tabs>
          <w:tab w:val="num" w:pos="6469"/>
        </w:tabs>
        <w:ind w:left="6469" w:hanging="360"/>
      </w:pPr>
    </w:lvl>
    <w:lvl w:ilvl="8" w:tplc="0809001B">
      <w:start w:val="1"/>
      <w:numFmt w:val="decimal"/>
      <w:lvlText w:val="%9."/>
      <w:lvlJc w:val="left"/>
      <w:pPr>
        <w:tabs>
          <w:tab w:val="num" w:pos="7189"/>
        </w:tabs>
        <w:ind w:left="7189" w:hanging="360"/>
      </w:pPr>
    </w:lvl>
  </w:abstractNum>
  <w:abstractNum w:abstractNumId="6" w15:restartNumberingAfterBreak="0">
    <w:nsid w:val="25446451"/>
    <w:multiLevelType w:val="hybridMultilevel"/>
    <w:tmpl w:val="9920EDF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DE7E8A"/>
    <w:multiLevelType w:val="hybridMultilevel"/>
    <w:tmpl w:val="A0AA1F6C"/>
    <w:lvl w:ilvl="0" w:tplc="AB349CD6">
      <w:start w:val="1"/>
      <w:numFmt w:val="decimal"/>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0382A"/>
    <w:multiLevelType w:val="hybridMultilevel"/>
    <w:tmpl w:val="E1063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B80154"/>
    <w:multiLevelType w:val="hybridMultilevel"/>
    <w:tmpl w:val="7B0638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E20A5"/>
    <w:multiLevelType w:val="hybridMultilevel"/>
    <w:tmpl w:val="059EED6C"/>
    <w:lvl w:ilvl="0" w:tplc="08090015">
      <w:start w:val="1"/>
      <w:numFmt w:val="upperLetter"/>
      <w:lvlText w:val="%1."/>
      <w:lvlJc w:val="left"/>
      <w:pPr>
        <w:ind w:left="108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FFC383A"/>
    <w:multiLevelType w:val="hybridMultilevel"/>
    <w:tmpl w:val="DD1280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E25E5"/>
    <w:multiLevelType w:val="hybridMultilevel"/>
    <w:tmpl w:val="D030400E"/>
    <w:lvl w:ilvl="0" w:tplc="08090019">
      <w:start w:val="1"/>
      <w:numFmt w:val="lowerLetter"/>
      <w:lvlText w:val="%1."/>
      <w:lvlJc w:val="left"/>
      <w:pPr>
        <w:ind w:left="-66" w:hanging="360"/>
      </w:pPr>
    </w:lvl>
    <w:lvl w:ilvl="1" w:tplc="08090019">
      <w:start w:val="1"/>
      <w:numFmt w:val="decimal"/>
      <w:lvlText w:val="%2."/>
      <w:lvlJc w:val="left"/>
      <w:pPr>
        <w:tabs>
          <w:tab w:val="num" w:pos="22"/>
        </w:tabs>
        <w:ind w:left="22" w:hanging="360"/>
      </w:pPr>
    </w:lvl>
    <w:lvl w:ilvl="2" w:tplc="0809001B">
      <w:start w:val="1"/>
      <w:numFmt w:val="decimal"/>
      <w:lvlText w:val="%3."/>
      <w:lvlJc w:val="left"/>
      <w:pPr>
        <w:tabs>
          <w:tab w:val="num" w:pos="742"/>
        </w:tabs>
        <w:ind w:left="742" w:hanging="360"/>
      </w:pPr>
    </w:lvl>
    <w:lvl w:ilvl="3" w:tplc="0809000F">
      <w:start w:val="1"/>
      <w:numFmt w:val="decimal"/>
      <w:lvlText w:val="%4."/>
      <w:lvlJc w:val="left"/>
      <w:pPr>
        <w:tabs>
          <w:tab w:val="num" w:pos="1462"/>
        </w:tabs>
        <w:ind w:left="1462" w:hanging="360"/>
      </w:pPr>
    </w:lvl>
    <w:lvl w:ilvl="4" w:tplc="08090019">
      <w:start w:val="1"/>
      <w:numFmt w:val="decimal"/>
      <w:lvlText w:val="%5."/>
      <w:lvlJc w:val="left"/>
      <w:pPr>
        <w:tabs>
          <w:tab w:val="num" w:pos="2182"/>
        </w:tabs>
        <w:ind w:left="2182" w:hanging="360"/>
      </w:pPr>
    </w:lvl>
    <w:lvl w:ilvl="5" w:tplc="0809001B">
      <w:start w:val="1"/>
      <w:numFmt w:val="decimal"/>
      <w:lvlText w:val="%6."/>
      <w:lvlJc w:val="left"/>
      <w:pPr>
        <w:tabs>
          <w:tab w:val="num" w:pos="2902"/>
        </w:tabs>
        <w:ind w:left="2902" w:hanging="360"/>
      </w:pPr>
    </w:lvl>
    <w:lvl w:ilvl="6" w:tplc="0809000F">
      <w:start w:val="1"/>
      <w:numFmt w:val="decimal"/>
      <w:lvlText w:val="%7."/>
      <w:lvlJc w:val="left"/>
      <w:pPr>
        <w:tabs>
          <w:tab w:val="num" w:pos="3622"/>
        </w:tabs>
        <w:ind w:left="3622" w:hanging="360"/>
      </w:pPr>
    </w:lvl>
    <w:lvl w:ilvl="7" w:tplc="08090019">
      <w:start w:val="1"/>
      <w:numFmt w:val="decimal"/>
      <w:lvlText w:val="%8."/>
      <w:lvlJc w:val="left"/>
      <w:pPr>
        <w:tabs>
          <w:tab w:val="num" w:pos="4342"/>
        </w:tabs>
        <w:ind w:left="4342" w:hanging="360"/>
      </w:pPr>
    </w:lvl>
    <w:lvl w:ilvl="8" w:tplc="0809001B">
      <w:start w:val="1"/>
      <w:numFmt w:val="decimal"/>
      <w:lvlText w:val="%9."/>
      <w:lvlJc w:val="left"/>
      <w:pPr>
        <w:tabs>
          <w:tab w:val="num" w:pos="5062"/>
        </w:tabs>
        <w:ind w:left="5062" w:hanging="360"/>
      </w:pPr>
    </w:lvl>
  </w:abstractNum>
  <w:abstractNum w:abstractNumId="13" w15:restartNumberingAfterBreak="0">
    <w:nsid w:val="5B631C83"/>
    <w:multiLevelType w:val="hybridMultilevel"/>
    <w:tmpl w:val="1D3AB4B8"/>
    <w:lvl w:ilvl="0" w:tplc="738C45F4">
      <w:start w:val="1"/>
      <w:numFmt w:val="decimal"/>
      <w:lvlText w:val="%1)"/>
      <w:lvlJc w:val="left"/>
      <w:pPr>
        <w:tabs>
          <w:tab w:val="num" w:pos="720"/>
        </w:tabs>
        <w:ind w:left="720" w:hanging="360"/>
      </w:pPr>
    </w:lvl>
    <w:lvl w:ilvl="1" w:tplc="276CD052" w:tentative="1">
      <w:start w:val="1"/>
      <w:numFmt w:val="decimal"/>
      <w:lvlText w:val="%2)"/>
      <w:lvlJc w:val="left"/>
      <w:pPr>
        <w:tabs>
          <w:tab w:val="num" w:pos="1440"/>
        </w:tabs>
        <w:ind w:left="1440" w:hanging="360"/>
      </w:pPr>
    </w:lvl>
    <w:lvl w:ilvl="2" w:tplc="82BE5C64" w:tentative="1">
      <w:start w:val="1"/>
      <w:numFmt w:val="decimal"/>
      <w:lvlText w:val="%3)"/>
      <w:lvlJc w:val="left"/>
      <w:pPr>
        <w:tabs>
          <w:tab w:val="num" w:pos="2160"/>
        </w:tabs>
        <w:ind w:left="2160" w:hanging="360"/>
      </w:pPr>
    </w:lvl>
    <w:lvl w:ilvl="3" w:tplc="D144B468" w:tentative="1">
      <w:start w:val="1"/>
      <w:numFmt w:val="decimal"/>
      <w:lvlText w:val="%4)"/>
      <w:lvlJc w:val="left"/>
      <w:pPr>
        <w:tabs>
          <w:tab w:val="num" w:pos="2880"/>
        </w:tabs>
        <w:ind w:left="2880" w:hanging="360"/>
      </w:pPr>
    </w:lvl>
    <w:lvl w:ilvl="4" w:tplc="AD8E8E96" w:tentative="1">
      <w:start w:val="1"/>
      <w:numFmt w:val="decimal"/>
      <w:lvlText w:val="%5)"/>
      <w:lvlJc w:val="left"/>
      <w:pPr>
        <w:tabs>
          <w:tab w:val="num" w:pos="3600"/>
        </w:tabs>
        <w:ind w:left="3600" w:hanging="360"/>
      </w:pPr>
    </w:lvl>
    <w:lvl w:ilvl="5" w:tplc="92E60646" w:tentative="1">
      <w:start w:val="1"/>
      <w:numFmt w:val="decimal"/>
      <w:lvlText w:val="%6)"/>
      <w:lvlJc w:val="left"/>
      <w:pPr>
        <w:tabs>
          <w:tab w:val="num" w:pos="4320"/>
        </w:tabs>
        <w:ind w:left="4320" w:hanging="360"/>
      </w:pPr>
    </w:lvl>
    <w:lvl w:ilvl="6" w:tplc="1EC0286A" w:tentative="1">
      <w:start w:val="1"/>
      <w:numFmt w:val="decimal"/>
      <w:lvlText w:val="%7)"/>
      <w:lvlJc w:val="left"/>
      <w:pPr>
        <w:tabs>
          <w:tab w:val="num" w:pos="5040"/>
        </w:tabs>
        <w:ind w:left="5040" w:hanging="360"/>
      </w:pPr>
    </w:lvl>
    <w:lvl w:ilvl="7" w:tplc="D0A4D128" w:tentative="1">
      <w:start w:val="1"/>
      <w:numFmt w:val="decimal"/>
      <w:lvlText w:val="%8)"/>
      <w:lvlJc w:val="left"/>
      <w:pPr>
        <w:tabs>
          <w:tab w:val="num" w:pos="5760"/>
        </w:tabs>
        <w:ind w:left="5760" w:hanging="360"/>
      </w:pPr>
    </w:lvl>
    <w:lvl w:ilvl="8" w:tplc="8B92C2E2" w:tentative="1">
      <w:start w:val="1"/>
      <w:numFmt w:val="decimal"/>
      <w:lvlText w:val="%9)"/>
      <w:lvlJc w:val="left"/>
      <w:pPr>
        <w:tabs>
          <w:tab w:val="num" w:pos="6480"/>
        </w:tabs>
        <w:ind w:left="6480" w:hanging="360"/>
      </w:pPr>
    </w:lvl>
  </w:abstractNum>
  <w:abstractNum w:abstractNumId="14" w15:restartNumberingAfterBreak="0">
    <w:nsid w:val="6E5A30E1"/>
    <w:multiLevelType w:val="hybridMultilevel"/>
    <w:tmpl w:val="BFA4AD0C"/>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75A05CE4"/>
    <w:multiLevelType w:val="hybridMultilevel"/>
    <w:tmpl w:val="C2DE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A7728B"/>
    <w:multiLevelType w:val="hybridMultilevel"/>
    <w:tmpl w:val="2C287F86"/>
    <w:lvl w:ilvl="0" w:tplc="678011A2">
      <w:start w:val="1"/>
      <w:numFmt w:val="decimal"/>
      <w:lvlText w:val="%1."/>
      <w:lvlJc w:val="left"/>
      <w:pPr>
        <w:ind w:left="1211"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4"/>
  </w:num>
  <w:num w:numId="8">
    <w:abstractNumId w:val="16"/>
  </w:num>
  <w:num w:numId="9">
    <w:abstractNumId w:val="6"/>
  </w:num>
  <w:num w:numId="10">
    <w:abstractNumId w:val="10"/>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0"/>
    <w:rsid w:val="000260F3"/>
    <w:rsid w:val="000261D4"/>
    <w:rsid w:val="00033802"/>
    <w:rsid w:val="000368DC"/>
    <w:rsid w:val="00040CBD"/>
    <w:rsid w:val="00041245"/>
    <w:rsid w:val="000438EA"/>
    <w:rsid w:val="0004761E"/>
    <w:rsid w:val="00060EAD"/>
    <w:rsid w:val="00066AAF"/>
    <w:rsid w:val="00074EFC"/>
    <w:rsid w:val="00077B70"/>
    <w:rsid w:val="00084AE4"/>
    <w:rsid w:val="000946AE"/>
    <w:rsid w:val="000A6EDA"/>
    <w:rsid w:val="000B5353"/>
    <w:rsid w:val="000B788D"/>
    <w:rsid w:val="000C7F8F"/>
    <w:rsid w:val="000E0CCF"/>
    <w:rsid w:val="000E25D0"/>
    <w:rsid w:val="000E32B8"/>
    <w:rsid w:val="000E467C"/>
    <w:rsid w:val="000E46C1"/>
    <w:rsid w:val="000E643A"/>
    <w:rsid w:val="000F0727"/>
    <w:rsid w:val="000F0FA3"/>
    <w:rsid w:val="000F3871"/>
    <w:rsid w:val="000F4F1A"/>
    <w:rsid w:val="000F4F93"/>
    <w:rsid w:val="001026C5"/>
    <w:rsid w:val="00105B85"/>
    <w:rsid w:val="00114783"/>
    <w:rsid w:val="0011744A"/>
    <w:rsid w:val="00124177"/>
    <w:rsid w:val="00146220"/>
    <w:rsid w:val="00147AE2"/>
    <w:rsid w:val="00166D20"/>
    <w:rsid w:val="00167E8E"/>
    <w:rsid w:val="001778DE"/>
    <w:rsid w:val="00177BEE"/>
    <w:rsid w:val="00184FCB"/>
    <w:rsid w:val="0019005E"/>
    <w:rsid w:val="0019238F"/>
    <w:rsid w:val="001A314A"/>
    <w:rsid w:val="001A3732"/>
    <w:rsid w:val="001A5BE8"/>
    <w:rsid w:val="001B0789"/>
    <w:rsid w:val="001B24BF"/>
    <w:rsid w:val="001B2997"/>
    <w:rsid w:val="001C78D7"/>
    <w:rsid w:val="001E111E"/>
    <w:rsid w:val="001E6771"/>
    <w:rsid w:val="001F26D8"/>
    <w:rsid w:val="00204141"/>
    <w:rsid w:val="002169C6"/>
    <w:rsid w:val="00223690"/>
    <w:rsid w:val="002241EE"/>
    <w:rsid w:val="0022461C"/>
    <w:rsid w:val="0023046A"/>
    <w:rsid w:val="00230C2E"/>
    <w:rsid w:val="00244B01"/>
    <w:rsid w:val="00253D61"/>
    <w:rsid w:val="00263230"/>
    <w:rsid w:val="002672F2"/>
    <w:rsid w:val="0027640C"/>
    <w:rsid w:val="00281F14"/>
    <w:rsid w:val="00284A30"/>
    <w:rsid w:val="002856A4"/>
    <w:rsid w:val="00290744"/>
    <w:rsid w:val="002A08C7"/>
    <w:rsid w:val="002A3AD6"/>
    <w:rsid w:val="002A5385"/>
    <w:rsid w:val="002A6301"/>
    <w:rsid w:val="002A7EFB"/>
    <w:rsid w:val="002B19B0"/>
    <w:rsid w:val="002C3EEB"/>
    <w:rsid w:val="002C623E"/>
    <w:rsid w:val="002D07EF"/>
    <w:rsid w:val="002D3B5F"/>
    <w:rsid w:val="002D5CDD"/>
    <w:rsid w:val="002E39BB"/>
    <w:rsid w:val="00301036"/>
    <w:rsid w:val="00302C1F"/>
    <w:rsid w:val="00312FC2"/>
    <w:rsid w:val="0031411F"/>
    <w:rsid w:val="00321407"/>
    <w:rsid w:val="00327CEF"/>
    <w:rsid w:val="0033253B"/>
    <w:rsid w:val="003334E7"/>
    <w:rsid w:val="00333694"/>
    <w:rsid w:val="00337062"/>
    <w:rsid w:val="003374DA"/>
    <w:rsid w:val="00337F36"/>
    <w:rsid w:val="003471D5"/>
    <w:rsid w:val="00347B7D"/>
    <w:rsid w:val="00353D8D"/>
    <w:rsid w:val="00357610"/>
    <w:rsid w:val="003606B5"/>
    <w:rsid w:val="003621A0"/>
    <w:rsid w:val="00364C49"/>
    <w:rsid w:val="00364C50"/>
    <w:rsid w:val="00364F4B"/>
    <w:rsid w:val="00364FC4"/>
    <w:rsid w:val="00367B9E"/>
    <w:rsid w:val="003747DD"/>
    <w:rsid w:val="00375905"/>
    <w:rsid w:val="00380D39"/>
    <w:rsid w:val="00392836"/>
    <w:rsid w:val="00395717"/>
    <w:rsid w:val="003A2C98"/>
    <w:rsid w:val="003A4551"/>
    <w:rsid w:val="003B0912"/>
    <w:rsid w:val="003B69FC"/>
    <w:rsid w:val="003C66BA"/>
    <w:rsid w:val="003D479C"/>
    <w:rsid w:val="003D5D9F"/>
    <w:rsid w:val="003E1E0A"/>
    <w:rsid w:val="003E68AB"/>
    <w:rsid w:val="003F6562"/>
    <w:rsid w:val="00412B2E"/>
    <w:rsid w:val="00416B72"/>
    <w:rsid w:val="004171F8"/>
    <w:rsid w:val="00427B5F"/>
    <w:rsid w:val="00444218"/>
    <w:rsid w:val="00460102"/>
    <w:rsid w:val="00460D47"/>
    <w:rsid w:val="0046501B"/>
    <w:rsid w:val="004665D3"/>
    <w:rsid w:val="0046759B"/>
    <w:rsid w:val="004713AA"/>
    <w:rsid w:val="00490CE8"/>
    <w:rsid w:val="00497DCB"/>
    <w:rsid w:val="004B5ECB"/>
    <w:rsid w:val="004C43D7"/>
    <w:rsid w:val="004C51BE"/>
    <w:rsid w:val="004E5D6A"/>
    <w:rsid w:val="00513C5A"/>
    <w:rsid w:val="005157D1"/>
    <w:rsid w:val="00531388"/>
    <w:rsid w:val="00545DB9"/>
    <w:rsid w:val="00546D6C"/>
    <w:rsid w:val="0055117C"/>
    <w:rsid w:val="005517D6"/>
    <w:rsid w:val="00552507"/>
    <w:rsid w:val="00552602"/>
    <w:rsid w:val="005528B4"/>
    <w:rsid w:val="00553869"/>
    <w:rsid w:val="00561569"/>
    <w:rsid w:val="0056279E"/>
    <w:rsid w:val="00572699"/>
    <w:rsid w:val="00576F37"/>
    <w:rsid w:val="00581FC8"/>
    <w:rsid w:val="00595DD5"/>
    <w:rsid w:val="0059613E"/>
    <w:rsid w:val="005A05D0"/>
    <w:rsid w:val="005A5EB6"/>
    <w:rsid w:val="005B281B"/>
    <w:rsid w:val="005B795D"/>
    <w:rsid w:val="005C7602"/>
    <w:rsid w:val="005E0FBF"/>
    <w:rsid w:val="005E7B65"/>
    <w:rsid w:val="005F38B6"/>
    <w:rsid w:val="006078A2"/>
    <w:rsid w:val="00610631"/>
    <w:rsid w:val="00610685"/>
    <w:rsid w:val="006106E4"/>
    <w:rsid w:val="006138BE"/>
    <w:rsid w:val="006350AA"/>
    <w:rsid w:val="006375FB"/>
    <w:rsid w:val="00641202"/>
    <w:rsid w:val="006441C9"/>
    <w:rsid w:val="006505CC"/>
    <w:rsid w:val="00652989"/>
    <w:rsid w:val="00676DA4"/>
    <w:rsid w:val="00687046"/>
    <w:rsid w:val="00692B39"/>
    <w:rsid w:val="00693976"/>
    <w:rsid w:val="0069563A"/>
    <w:rsid w:val="006A0C95"/>
    <w:rsid w:val="006A172C"/>
    <w:rsid w:val="006A2A93"/>
    <w:rsid w:val="006B775C"/>
    <w:rsid w:val="006C0DC6"/>
    <w:rsid w:val="006C3B90"/>
    <w:rsid w:val="006C6120"/>
    <w:rsid w:val="006D2120"/>
    <w:rsid w:val="007040CB"/>
    <w:rsid w:val="00720285"/>
    <w:rsid w:val="00724656"/>
    <w:rsid w:val="00724D59"/>
    <w:rsid w:val="00732F7D"/>
    <w:rsid w:val="00734439"/>
    <w:rsid w:val="00742BB2"/>
    <w:rsid w:val="00742FFD"/>
    <w:rsid w:val="00743487"/>
    <w:rsid w:val="007457E2"/>
    <w:rsid w:val="0074645E"/>
    <w:rsid w:val="00753461"/>
    <w:rsid w:val="007828F0"/>
    <w:rsid w:val="0078582E"/>
    <w:rsid w:val="00786E83"/>
    <w:rsid w:val="007A1F62"/>
    <w:rsid w:val="007A23BB"/>
    <w:rsid w:val="007A71EF"/>
    <w:rsid w:val="007B18AC"/>
    <w:rsid w:val="007B3C88"/>
    <w:rsid w:val="007B6EC4"/>
    <w:rsid w:val="007C1CB7"/>
    <w:rsid w:val="007C4D4D"/>
    <w:rsid w:val="007C69EE"/>
    <w:rsid w:val="007D7B54"/>
    <w:rsid w:val="007E0A6B"/>
    <w:rsid w:val="008015DC"/>
    <w:rsid w:val="00804F2B"/>
    <w:rsid w:val="00820D34"/>
    <w:rsid w:val="00830BBA"/>
    <w:rsid w:val="008329B1"/>
    <w:rsid w:val="0083404A"/>
    <w:rsid w:val="008351E7"/>
    <w:rsid w:val="00836ABB"/>
    <w:rsid w:val="00837C28"/>
    <w:rsid w:val="00840415"/>
    <w:rsid w:val="0084057B"/>
    <w:rsid w:val="00845571"/>
    <w:rsid w:val="0085406C"/>
    <w:rsid w:val="00860637"/>
    <w:rsid w:val="00862678"/>
    <w:rsid w:val="00864071"/>
    <w:rsid w:val="00865C04"/>
    <w:rsid w:val="00866DFB"/>
    <w:rsid w:val="00866FC6"/>
    <w:rsid w:val="00870C23"/>
    <w:rsid w:val="00881C02"/>
    <w:rsid w:val="00882301"/>
    <w:rsid w:val="0088529D"/>
    <w:rsid w:val="008855CA"/>
    <w:rsid w:val="00890AB2"/>
    <w:rsid w:val="00890BA4"/>
    <w:rsid w:val="00892673"/>
    <w:rsid w:val="008973D4"/>
    <w:rsid w:val="008A10AE"/>
    <w:rsid w:val="008A2933"/>
    <w:rsid w:val="008A3DE3"/>
    <w:rsid w:val="008B0C29"/>
    <w:rsid w:val="008D026F"/>
    <w:rsid w:val="008E05C9"/>
    <w:rsid w:val="008E3D42"/>
    <w:rsid w:val="0090592C"/>
    <w:rsid w:val="00911DA6"/>
    <w:rsid w:val="009230E7"/>
    <w:rsid w:val="00935A5E"/>
    <w:rsid w:val="00940CCC"/>
    <w:rsid w:val="00940CEC"/>
    <w:rsid w:val="00946359"/>
    <w:rsid w:val="00950754"/>
    <w:rsid w:val="009522DF"/>
    <w:rsid w:val="009524C8"/>
    <w:rsid w:val="00952C6C"/>
    <w:rsid w:val="009567C3"/>
    <w:rsid w:val="00956DEC"/>
    <w:rsid w:val="00957E2B"/>
    <w:rsid w:val="0097723D"/>
    <w:rsid w:val="009821D2"/>
    <w:rsid w:val="00982710"/>
    <w:rsid w:val="0098654C"/>
    <w:rsid w:val="009868F0"/>
    <w:rsid w:val="00995227"/>
    <w:rsid w:val="009A3A22"/>
    <w:rsid w:val="009C1CFE"/>
    <w:rsid w:val="009C2523"/>
    <w:rsid w:val="009C2B83"/>
    <w:rsid w:val="009C3466"/>
    <w:rsid w:val="009C53CE"/>
    <w:rsid w:val="009C5E0A"/>
    <w:rsid w:val="009D3907"/>
    <w:rsid w:val="009D51AE"/>
    <w:rsid w:val="009E0E50"/>
    <w:rsid w:val="009E21CB"/>
    <w:rsid w:val="009F2DB4"/>
    <w:rsid w:val="00A102B1"/>
    <w:rsid w:val="00A23B62"/>
    <w:rsid w:val="00A308F0"/>
    <w:rsid w:val="00A3416D"/>
    <w:rsid w:val="00A3418F"/>
    <w:rsid w:val="00A349DC"/>
    <w:rsid w:val="00A50801"/>
    <w:rsid w:val="00A51ACD"/>
    <w:rsid w:val="00A542B8"/>
    <w:rsid w:val="00A57D60"/>
    <w:rsid w:val="00A66978"/>
    <w:rsid w:val="00A70A84"/>
    <w:rsid w:val="00A72014"/>
    <w:rsid w:val="00A776B6"/>
    <w:rsid w:val="00A838EB"/>
    <w:rsid w:val="00A83AAF"/>
    <w:rsid w:val="00AA2090"/>
    <w:rsid w:val="00AA4AB2"/>
    <w:rsid w:val="00AB0F9C"/>
    <w:rsid w:val="00AB52D9"/>
    <w:rsid w:val="00AD230F"/>
    <w:rsid w:val="00AD3E43"/>
    <w:rsid w:val="00AE2430"/>
    <w:rsid w:val="00AE6F47"/>
    <w:rsid w:val="00AF0BEE"/>
    <w:rsid w:val="00B0085D"/>
    <w:rsid w:val="00B01431"/>
    <w:rsid w:val="00B264A8"/>
    <w:rsid w:val="00B3561E"/>
    <w:rsid w:val="00B50D7F"/>
    <w:rsid w:val="00B510B3"/>
    <w:rsid w:val="00B71F35"/>
    <w:rsid w:val="00B8629D"/>
    <w:rsid w:val="00B948C5"/>
    <w:rsid w:val="00B97411"/>
    <w:rsid w:val="00BA1A2C"/>
    <w:rsid w:val="00BB59BE"/>
    <w:rsid w:val="00BC7CDB"/>
    <w:rsid w:val="00BD52E1"/>
    <w:rsid w:val="00BE3169"/>
    <w:rsid w:val="00BE70FD"/>
    <w:rsid w:val="00BF6BF8"/>
    <w:rsid w:val="00C0042F"/>
    <w:rsid w:val="00C11719"/>
    <w:rsid w:val="00C20023"/>
    <w:rsid w:val="00C203B0"/>
    <w:rsid w:val="00C24B4D"/>
    <w:rsid w:val="00C31B71"/>
    <w:rsid w:val="00C32821"/>
    <w:rsid w:val="00C34D8A"/>
    <w:rsid w:val="00C46653"/>
    <w:rsid w:val="00C53CD8"/>
    <w:rsid w:val="00C540D7"/>
    <w:rsid w:val="00C57801"/>
    <w:rsid w:val="00C63DAF"/>
    <w:rsid w:val="00C705DE"/>
    <w:rsid w:val="00C7791F"/>
    <w:rsid w:val="00C87031"/>
    <w:rsid w:val="00C874CA"/>
    <w:rsid w:val="00C9077C"/>
    <w:rsid w:val="00C9265E"/>
    <w:rsid w:val="00CA2B4E"/>
    <w:rsid w:val="00CA431C"/>
    <w:rsid w:val="00CA4F1F"/>
    <w:rsid w:val="00CB1A4B"/>
    <w:rsid w:val="00CB6CEF"/>
    <w:rsid w:val="00CC5E1F"/>
    <w:rsid w:val="00CE20FB"/>
    <w:rsid w:val="00CE3454"/>
    <w:rsid w:val="00CF012D"/>
    <w:rsid w:val="00CF05EB"/>
    <w:rsid w:val="00D02D9F"/>
    <w:rsid w:val="00D1079F"/>
    <w:rsid w:val="00D1082F"/>
    <w:rsid w:val="00D36D1F"/>
    <w:rsid w:val="00D42CD3"/>
    <w:rsid w:val="00D42E12"/>
    <w:rsid w:val="00D503C6"/>
    <w:rsid w:val="00D61726"/>
    <w:rsid w:val="00D62596"/>
    <w:rsid w:val="00D64CFB"/>
    <w:rsid w:val="00D678E9"/>
    <w:rsid w:val="00D72672"/>
    <w:rsid w:val="00D77DA7"/>
    <w:rsid w:val="00D86DFC"/>
    <w:rsid w:val="00D94022"/>
    <w:rsid w:val="00DA23DB"/>
    <w:rsid w:val="00DA72C2"/>
    <w:rsid w:val="00DB147C"/>
    <w:rsid w:val="00DB1D33"/>
    <w:rsid w:val="00DB3BED"/>
    <w:rsid w:val="00DB6045"/>
    <w:rsid w:val="00DB77FB"/>
    <w:rsid w:val="00DC1132"/>
    <w:rsid w:val="00DC18C9"/>
    <w:rsid w:val="00DC2B6E"/>
    <w:rsid w:val="00DC3D30"/>
    <w:rsid w:val="00DC7BAD"/>
    <w:rsid w:val="00DE6D43"/>
    <w:rsid w:val="00DF5817"/>
    <w:rsid w:val="00E07B7E"/>
    <w:rsid w:val="00E160BE"/>
    <w:rsid w:val="00E24267"/>
    <w:rsid w:val="00E24BF4"/>
    <w:rsid w:val="00E27128"/>
    <w:rsid w:val="00E34E70"/>
    <w:rsid w:val="00E41CF9"/>
    <w:rsid w:val="00E452EA"/>
    <w:rsid w:val="00E45921"/>
    <w:rsid w:val="00E518A8"/>
    <w:rsid w:val="00E62F22"/>
    <w:rsid w:val="00E63A2B"/>
    <w:rsid w:val="00E640DA"/>
    <w:rsid w:val="00E6510A"/>
    <w:rsid w:val="00E722B7"/>
    <w:rsid w:val="00E76E26"/>
    <w:rsid w:val="00E81AE5"/>
    <w:rsid w:val="00E8323C"/>
    <w:rsid w:val="00E84B82"/>
    <w:rsid w:val="00E85165"/>
    <w:rsid w:val="00E94880"/>
    <w:rsid w:val="00E94C91"/>
    <w:rsid w:val="00E97304"/>
    <w:rsid w:val="00EA2340"/>
    <w:rsid w:val="00EA6E85"/>
    <w:rsid w:val="00EB17F8"/>
    <w:rsid w:val="00EB2848"/>
    <w:rsid w:val="00EB3E22"/>
    <w:rsid w:val="00EB43C0"/>
    <w:rsid w:val="00EC17A4"/>
    <w:rsid w:val="00EC2190"/>
    <w:rsid w:val="00EC5602"/>
    <w:rsid w:val="00EC687F"/>
    <w:rsid w:val="00ED50F9"/>
    <w:rsid w:val="00EE39C9"/>
    <w:rsid w:val="00EF0C1C"/>
    <w:rsid w:val="00EF5B1A"/>
    <w:rsid w:val="00F1237F"/>
    <w:rsid w:val="00F134FC"/>
    <w:rsid w:val="00F13943"/>
    <w:rsid w:val="00F155E0"/>
    <w:rsid w:val="00F16DA4"/>
    <w:rsid w:val="00F23B08"/>
    <w:rsid w:val="00F24BC8"/>
    <w:rsid w:val="00F251B7"/>
    <w:rsid w:val="00F30F7A"/>
    <w:rsid w:val="00F375AB"/>
    <w:rsid w:val="00F40462"/>
    <w:rsid w:val="00F5130E"/>
    <w:rsid w:val="00F52E36"/>
    <w:rsid w:val="00F5387D"/>
    <w:rsid w:val="00F666CF"/>
    <w:rsid w:val="00F7105E"/>
    <w:rsid w:val="00F737DA"/>
    <w:rsid w:val="00F82591"/>
    <w:rsid w:val="00F83038"/>
    <w:rsid w:val="00F97042"/>
    <w:rsid w:val="00FA133B"/>
    <w:rsid w:val="00FA5E60"/>
    <w:rsid w:val="00FB0C38"/>
    <w:rsid w:val="00FB3B9D"/>
    <w:rsid w:val="00FB520B"/>
    <w:rsid w:val="00FE4C14"/>
    <w:rsid w:val="00FF2719"/>
    <w:rsid w:val="7BBDA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8A51"/>
  <w15:docId w15:val="{C6B21616-51F1-42EE-A2C8-247AA1B0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6D43"/>
    <w:pPr>
      <w:suppressAutoHyphens/>
    </w:pPr>
    <w:rPr>
      <w:sz w:val="24"/>
      <w:szCs w:val="24"/>
      <w:lang w:eastAsia="ar-SA"/>
    </w:rPr>
  </w:style>
  <w:style w:type="paragraph" w:styleId="Heading1">
    <w:name w:val="heading 1"/>
    <w:basedOn w:val="Normal"/>
    <w:next w:val="Normal"/>
    <w:qFormat/>
    <w:rsid w:val="00DE6D43"/>
    <w:pPr>
      <w:keepNext/>
      <w:tabs>
        <w:tab w:val="num" w:pos="0"/>
      </w:tabs>
      <w:outlineLvl w:val="0"/>
    </w:pPr>
    <w:rPr>
      <w:rFonts w:ascii="Arial" w:eastAsia="Arial Unicode MS" w:hAnsi="Arial" w:cs="Arial"/>
      <w:lang w:val="en-US"/>
    </w:rPr>
  </w:style>
  <w:style w:type="paragraph" w:styleId="Heading2">
    <w:name w:val="heading 2"/>
    <w:basedOn w:val="Normal"/>
    <w:next w:val="Normal"/>
    <w:qFormat/>
    <w:rsid w:val="00DE6D43"/>
    <w:pPr>
      <w:keepNext/>
      <w:tabs>
        <w:tab w:val="num" w:pos="0"/>
      </w:tabs>
      <w:autoSpaceDE w:val="0"/>
      <w:outlineLvl w:val="1"/>
    </w:pPr>
    <w:rPr>
      <w:rFonts w:ascii="Arial" w:hAnsi="Arial" w:cs="Arial"/>
      <w:b/>
      <w:bCs/>
      <w:lang w:val="en-US"/>
    </w:rPr>
  </w:style>
  <w:style w:type="paragraph" w:styleId="Heading3">
    <w:name w:val="heading 3"/>
    <w:basedOn w:val="Normal"/>
    <w:next w:val="Normal"/>
    <w:qFormat/>
    <w:rsid w:val="00DE6D43"/>
    <w:pPr>
      <w:keepNext/>
      <w:tabs>
        <w:tab w:val="num" w:pos="0"/>
      </w:tabs>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E6D43"/>
  </w:style>
  <w:style w:type="character" w:customStyle="1" w:styleId="WW-Absatz-Standardschriftart">
    <w:name w:val="WW-Absatz-Standardschriftart"/>
    <w:rsid w:val="00DE6D43"/>
  </w:style>
  <w:style w:type="character" w:customStyle="1" w:styleId="WW-Absatz-Standardschriftart1">
    <w:name w:val="WW-Absatz-Standardschriftart1"/>
    <w:rsid w:val="00DE6D43"/>
  </w:style>
  <w:style w:type="character" w:customStyle="1" w:styleId="WW8Num1z0">
    <w:name w:val="WW8Num1z0"/>
    <w:rsid w:val="00DE6D43"/>
    <w:rPr>
      <w:rFonts w:ascii="Symbol" w:hAnsi="Symbol"/>
      <w:sz w:val="20"/>
    </w:rPr>
  </w:style>
  <w:style w:type="character" w:customStyle="1" w:styleId="WW8Num1z1">
    <w:name w:val="WW8Num1z1"/>
    <w:rsid w:val="00DE6D43"/>
    <w:rPr>
      <w:rFonts w:ascii="Courier New" w:hAnsi="Courier New"/>
      <w:sz w:val="20"/>
    </w:rPr>
  </w:style>
  <w:style w:type="character" w:customStyle="1" w:styleId="WW8Num1z2">
    <w:name w:val="WW8Num1z2"/>
    <w:rsid w:val="00DE6D43"/>
    <w:rPr>
      <w:rFonts w:ascii="Wingdings" w:hAnsi="Wingdings"/>
      <w:sz w:val="20"/>
    </w:rPr>
  </w:style>
  <w:style w:type="character" w:styleId="Hyperlink">
    <w:name w:val="Hyperlink"/>
    <w:basedOn w:val="DefaultParagraphFont"/>
    <w:uiPriority w:val="99"/>
    <w:rsid w:val="00DE6D43"/>
    <w:rPr>
      <w:color w:val="0000FF"/>
      <w:u w:val="single"/>
    </w:rPr>
  </w:style>
  <w:style w:type="character" w:styleId="FollowedHyperlink">
    <w:name w:val="FollowedHyperlink"/>
    <w:basedOn w:val="DefaultParagraphFont"/>
    <w:rsid w:val="00DE6D43"/>
    <w:rPr>
      <w:color w:val="800080"/>
      <w:u w:val="single"/>
    </w:rPr>
  </w:style>
  <w:style w:type="character" w:styleId="Strong">
    <w:name w:val="Strong"/>
    <w:basedOn w:val="DefaultParagraphFont"/>
    <w:qFormat/>
    <w:rsid w:val="00DE6D43"/>
    <w:rPr>
      <w:b/>
      <w:bCs/>
    </w:rPr>
  </w:style>
  <w:style w:type="character" w:styleId="Emphasis">
    <w:name w:val="Emphasis"/>
    <w:basedOn w:val="DefaultParagraphFont"/>
    <w:qFormat/>
    <w:rsid w:val="00DE6D43"/>
    <w:rPr>
      <w:i/>
      <w:iCs/>
    </w:rPr>
  </w:style>
  <w:style w:type="character" w:customStyle="1" w:styleId="NumberingSymbols">
    <w:name w:val="Numbering Symbols"/>
    <w:rsid w:val="00DE6D43"/>
  </w:style>
  <w:style w:type="paragraph" w:customStyle="1" w:styleId="Heading">
    <w:name w:val="Heading"/>
    <w:basedOn w:val="Normal"/>
    <w:next w:val="BodyText"/>
    <w:rsid w:val="00DE6D43"/>
    <w:pPr>
      <w:keepNext/>
      <w:spacing w:before="240" w:after="120"/>
    </w:pPr>
    <w:rPr>
      <w:rFonts w:ascii="Arial" w:eastAsia="MS Mincho" w:hAnsi="Arial" w:cs="Tahoma"/>
      <w:sz w:val="28"/>
      <w:szCs w:val="28"/>
    </w:rPr>
  </w:style>
  <w:style w:type="paragraph" w:styleId="BodyText">
    <w:name w:val="Body Text"/>
    <w:basedOn w:val="Normal"/>
    <w:link w:val="BodyTextChar"/>
    <w:rsid w:val="00DE6D43"/>
    <w:rPr>
      <w:rFonts w:ascii="Arial" w:hAnsi="Arial" w:cs="Arial"/>
      <w:b/>
      <w:bCs/>
      <w:i/>
      <w:iCs/>
      <w:szCs w:val="20"/>
    </w:rPr>
  </w:style>
  <w:style w:type="paragraph" w:styleId="List">
    <w:name w:val="List"/>
    <w:basedOn w:val="BodyText"/>
    <w:rsid w:val="00DE6D43"/>
    <w:rPr>
      <w:rFonts w:cs="Tahoma"/>
    </w:rPr>
  </w:style>
  <w:style w:type="paragraph" w:styleId="Caption">
    <w:name w:val="caption"/>
    <w:basedOn w:val="Normal"/>
    <w:qFormat/>
    <w:rsid w:val="00DE6D43"/>
    <w:pPr>
      <w:suppressLineNumbers/>
      <w:spacing w:before="120" w:after="120"/>
    </w:pPr>
    <w:rPr>
      <w:rFonts w:cs="Tahoma"/>
      <w:i/>
      <w:iCs/>
    </w:rPr>
  </w:style>
  <w:style w:type="paragraph" w:customStyle="1" w:styleId="Index">
    <w:name w:val="Index"/>
    <w:basedOn w:val="Normal"/>
    <w:rsid w:val="00DE6D43"/>
    <w:pPr>
      <w:suppressLineNumbers/>
    </w:pPr>
    <w:rPr>
      <w:rFonts w:cs="Tahoma"/>
    </w:rPr>
  </w:style>
  <w:style w:type="paragraph" w:styleId="BodyTextIndent2">
    <w:name w:val="Body Text Indent 2"/>
    <w:basedOn w:val="Normal"/>
    <w:rsid w:val="00DE6D43"/>
    <w:pPr>
      <w:tabs>
        <w:tab w:val="left" w:pos="1080"/>
      </w:tabs>
      <w:ind w:left="720"/>
    </w:pPr>
    <w:rPr>
      <w:rFonts w:ascii="Arial" w:hAnsi="Arial" w:cs="Arial"/>
      <w:sz w:val="20"/>
      <w:szCs w:val="20"/>
      <w:lang w:val="en-US"/>
    </w:rPr>
  </w:style>
  <w:style w:type="paragraph" w:styleId="BlockText">
    <w:name w:val="Block Text"/>
    <w:basedOn w:val="Normal"/>
    <w:rsid w:val="00DE6D43"/>
    <w:pPr>
      <w:ind w:left="2160" w:right="720" w:hanging="360"/>
    </w:pPr>
    <w:rPr>
      <w:rFonts w:ascii="Arial" w:hAnsi="Arial" w:cs="Arial"/>
      <w:sz w:val="20"/>
      <w:szCs w:val="20"/>
      <w:lang w:val="en-US"/>
    </w:rPr>
  </w:style>
  <w:style w:type="paragraph" w:styleId="BodyText2">
    <w:name w:val="Body Text 2"/>
    <w:basedOn w:val="Normal"/>
    <w:rsid w:val="00DE6D43"/>
    <w:pPr>
      <w:jc w:val="both"/>
    </w:pPr>
    <w:rPr>
      <w:rFonts w:ascii="Arial" w:hAnsi="Arial" w:cs="Arial"/>
      <w:b/>
      <w:bCs/>
      <w:lang w:val="en-US"/>
    </w:rPr>
  </w:style>
  <w:style w:type="paragraph" w:styleId="BodyTextIndent">
    <w:name w:val="Body Text Indent"/>
    <w:basedOn w:val="Normal"/>
    <w:rsid w:val="00DE6D43"/>
    <w:pPr>
      <w:ind w:left="720" w:hanging="720"/>
      <w:jc w:val="both"/>
    </w:pPr>
    <w:rPr>
      <w:rFonts w:ascii="Arial" w:hAnsi="Arial" w:cs="Arial"/>
      <w:b/>
      <w:bCs/>
      <w:lang w:val="en-US"/>
    </w:rPr>
  </w:style>
  <w:style w:type="paragraph" w:styleId="BodyText3">
    <w:name w:val="Body Text 3"/>
    <w:basedOn w:val="Normal"/>
    <w:rsid w:val="00DE6D43"/>
    <w:pPr>
      <w:autoSpaceDE w:val="0"/>
    </w:pPr>
    <w:rPr>
      <w:rFonts w:ascii="Arial" w:hAnsi="Arial" w:cs="Arial"/>
      <w:b/>
      <w:bCs/>
      <w:lang w:val="en-US"/>
    </w:rPr>
  </w:style>
  <w:style w:type="paragraph" w:styleId="NormalWeb">
    <w:name w:val="Normal (Web)"/>
    <w:basedOn w:val="Normal"/>
    <w:uiPriority w:val="99"/>
    <w:rsid w:val="00DE6D43"/>
    <w:pPr>
      <w:spacing w:before="280" w:after="280"/>
    </w:pPr>
    <w:rPr>
      <w:rFonts w:ascii="Arial Unicode MS" w:eastAsia="Arial Unicode MS" w:hAnsi="Arial Unicode MS" w:cs="Arial Unicode MS"/>
    </w:rPr>
  </w:style>
  <w:style w:type="paragraph" w:customStyle="1" w:styleId="PreformattedText">
    <w:name w:val="Preformatted Text"/>
    <w:basedOn w:val="Normal"/>
    <w:rsid w:val="00DE6D43"/>
    <w:rPr>
      <w:rFonts w:ascii="Courier New" w:eastAsia="Courier New" w:hAnsi="Courier New" w:cs="Courier New"/>
      <w:sz w:val="20"/>
      <w:szCs w:val="20"/>
    </w:rPr>
  </w:style>
  <w:style w:type="paragraph" w:styleId="ListParagraph">
    <w:name w:val="List Paragraph"/>
    <w:basedOn w:val="Normal"/>
    <w:uiPriority w:val="34"/>
    <w:qFormat/>
    <w:rsid w:val="00F23B08"/>
    <w:pPr>
      <w:suppressAutoHyphens w:val="0"/>
      <w:ind w:left="720"/>
    </w:pPr>
    <w:rPr>
      <w:rFonts w:eastAsia="Calibri"/>
      <w:lang w:eastAsia="en-GB"/>
    </w:rPr>
  </w:style>
  <w:style w:type="paragraph" w:styleId="PlainText">
    <w:name w:val="Plain Text"/>
    <w:basedOn w:val="Normal"/>
    <w:link w:val="PlainTextChar"/>
    <w:uiPriority w:val="99"/>
    <w:unhideWhenUsed/>
    <w:rsid w:val="00B01431"/>
    <w:pPr>
      <w:suppressAutoHyphens w:val="0"/>
    </w:pPr>
    <w:rPr>
      <w:rFonts w:ascii="Courier New" w:hAnsi="Courier New" w:cs="Courier New"/>
      <w:lang w:eastAsia="en-GB"/>
    </w:rPr>
  </w:style>
  <w:style w:type="character" w:customStyle="1" w:styleId="PlainTextChar">
    <w:name w:val="Plain Text Char"/>
    <w:basedOn w:val="DefaultParagraphFont"/>
    <w:link w:val="PlainText"/>
    <w:uiPriority w:val="99"/>
    <w:rsid w:val="00B01431"/>
    <w:rPr>
      <w:rFonts w:ascii="Courier New" w:hAnsi="Courier New" w:cs="Courier New"/>
      <w:sz w:val="24"/>
      <w:szCs w:val="24"/>
    </w:rPr>
  </w:style>
  <w:style w:type="character" w:customStyle="1" w:styleId="BodyTextChar">
    <w:name w:val="Body Text Char"/>
    <w:basedOn w:val="DefaultParagraphFont"/>
    <w:link w:val="BodyText"/>
    <w:rsid w:val="000B5353"/>
    <w:rPr>
      <w:rFonts w:ascii="Arial" w:hAnsi="Arial" w:cs="Arial"/>
      <w:b/>
      <w:bCs/>
      <w:i/>
      <w:iCs/>
      <w:sz w:val="24"/>
      <w:lang w:eastAsia="ar-SA"/>
    </w:rPr>
  </w:style>
  <w:style w:type="paragraph" w:styleId="BalloonText">
    <w:name w:val="Balloon Text"/>
    <w:basedOn w:val="Normal"/>
    <w:link w:val="BalloonTextChar"/>
    <w:rsid w:val="00E41CF9"/>
    <w:rPr>
      <w:rFonts w:ascii="Tahoma" w:hAnsi="Tahoma" w:cs="Tahoma"/>
      <w:sz w:val="16"/>
      <w:szCs w:val="16"/>
    </w:rPr>
  </w:style>
  <w:style w:type="character" w:customStyle="1" w:styleId="BalloonTextChar">
    <w:name w:val="Balloon Text Char"/>
    <w:basedOn w:val="DefaultParagraphFont"/>
    <w:link w:val="BalloonText"/>
    <w:rsid w:val="00E41CF9"/>
    <w:rPr>
      <w:rFonts w:ascii="Tahoma" w:hAnsi="Tahoma" w:cs="Tahoma"/>
      <w:sz w:val="16"/>
      <w:szCs w:val="16"/>
      <w:lang w:eastAsia="ar-SA"/>
    </w:rPr>
  </w:style>
  <w:style w:type="character" w:styleId="CommentReference">
    <w:name w:val="annotation reference"/>
    <w:basedOn w:val="DefaultParagraphFont"/>
    <w:rsid w:val="00820D34"/>
    <w:rPr>
      <w:sz w:val="16"/>
      <w:szCs w:val="16"/>
    </w:rPr>
  </w:style>
  <w:style w:type="paragraph" w:styleId="CommentText">
    <w:name w:val="annotation text"/>
    <w:basedOn w:val="Normal"/>
    <w:link w:val="CommentTextChar"/>
    <w:rsid w:val="00820D34"/>
    <w:rPr>
      <w:sz w:val="20"/>
      <w:szCs w:val="20"/>
    </w:rPr>
  </w:style>
  <w:style w:type="character" w:customStyle="1" w:styleId="CommentTextChar">
    <w:name w:val="Comment Text Char"/>
    <w:basedOn w:val="DefaultParagraphFont"/>
    <w:link w:val="CommentText"/>
    <w:rsid w:val="00820D34"/>
    <w:rPr>
      <w:lang w:eastAsia="ar-SA"/>
    </w:rPr>
  </w:style>
  <w:style w:type="paragraph" w:styleId="CommentSubject">
    <w:name w:val="annotation subject"/>
    <w:basedOn w:val="CommentText"/>
    <w:next w:val="CommentText"/>
    <w:link w:val="CommentSubjectChar"/>
    <w:rsid w:val="00820D34"/>
    <w:rPr>
      <w:b/>
      <w:bCs/>
    </w:rPr>
  </w:style>
  <w:style w:type="character" w:customStyle="1" w:styleId="CommentSubjectChar">
    <w:name w:val="Comment Subject Char"/>
    <w:basedOn w:val="CommentTextChar"/>
    <w:link w:val="CommentSubject"/>
    <w:rsid w:val="00820D34"/>
    <w:rPr>
      <w:b/>
      <w:bCs/>
      <w:lang w:eastAsia="ar-SA"/>
    </w:rPr>
  </w:style>
  <w:style w:type="paragraph" w:customStyle="1" w:styleId="Default">
    <w:name w:val="Default"/>
    <w:basedOn w:val="Normal"/>
    <w:rsid w:val="00B97411"/>
    <w:pPr>
      <w:suppressAutoHyphens w:val="0"/>
      <w:autoSpaceDE w:val="0"/>
      <w:autoSpaceDN w:val="0"/>
    </w:pPr>
    <w:rPr>
      <w:rFonts w:ascii="Arial" w:eastAsiaTheme="minorHAnsi" w:hAnsi="Arial" w:cs="Arial"/>
      <w:color w:val="000000"/>
      <w:lang w:eastAsia="en-GB"/>
    </w:rPr>
  </w:style>
  <w:style w:type="character" w:styleId="UnresolvedMention">
    <w:name w:val="Unresolved Mention"/>
    <w:basedOn w:val="DefaultParagraphFont"/>
    <w:uiPriority w:val="99"/>
    <w:semiHidden/>
    <w:unhideWhenUsed/>
    <w:rsid w:val="00026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134">
      <w:bodyDiv w:val="1"/>
      <w:marLeft w:val="0"/>
      <w:marRight w:val="0"/>
      <w:marTop w:val="0"/>
      <w:marBottom w:val="0"/>
      <w:divBdr>
        <w:top w:val="none" w:sz="0" w:space="0" w:color="auto"/>
        <w:left w:val="none" w:sz="0" w:space="0" w:color="auto"/>
        <w:bottom w:val="none" w:sz="0" w:space="0" w:color="auto"/>
        <w:right w:val="none" w:sz="0" w:space="0" w:color="auto"/>
      </w:divBdr>
    </w:div>
    <w:div w:id="59140424">
      <w:bodyDiv w:val="1"/>
      <w:marLeft w:val="0"/>
      <w:marRight w:val="0"/>
      <w:marTop w:val="0"/>
      <w:marBottom w:val="0"/>
      <w:divBdr>
        <w:top w:val="none" w:sz="0" w:space="0" w:color="auto"/>
        <w:left w:val="none" w:sz="0" w:space="0" w:color="auto"/>
        <w:bottom w:val="none" w:sz="0" w:space="0" w:color="auto"/>
        <w:right w:val="none" w:sz="0" w:space="0" w:color="auto"/>
      </w:divBdr>
    </w:div>
    <w:div w:id="75984780">
      <w:bodyDiv w:val="1"/>
      <w:marLeft w:val="0"/>
      <w:marRight w:val="0"/>
      <w:marTop w:val="0"/>
      <w:marBottom w:val="0"/>
      <w:divBdr>
        <w:top w:val="none" w:sz="0" w:space="0" w:color="auto"/>
        <w:left w:val="none" w:sz="0" w:space="0" w:color="auto"/>
        <w:bottom w:val="none" w:sz="0" w:space="0" w:color="auto"/>
        <w:right w:val="none" w:sz="0" w:space="0" w:color="auto"/>
      </w:divBdr>
    </w:div>
    <w:div w:id="128405329">
      <w:bodyDiv w:val="1"/>
      <w:marLeft w:val="0"/>
      <w:marRight w:val="0"/>
      <w:marTop w:val="0"/>
      <w:marBottom w:val="0"/>
      <w:divBdr>
        <w:top w:val="none" w:sz="0" w:space="0" w:color="auto"/>
        <w:left w:val="none" w:sz="0" w:space="0" w:color="auto"/>
        <w:bottom w:val="none" w:sz="0" w:space="0" w:color="auto"/>
        <w:right w:val="none" w:sz="0" w:space="0" w:color="auto"/>
      </w:divBdr>
    </w:div>
    <w:div w:id="133527760">
      <w:bodyDiv w:val="1"/>
      <w:marLeft w:val="0"/>
      <w:marRight w:val="0"/>
      <w:marTop w:val="0"/>
      <w:marBottom w:val="0"/>
      <w:divBdr>
        <w:top w:val="none" w:sz="0" w:space="0" w:color="auto"/>
        <w:left w:val="none" w:sz="0" w:space="0" w:color="auto"/>
        <w:bottom w:val="none" w:sz="0" w:space="0" w:color="auto"/>
        <w:right w:val="none" w:sz="0" w:space="0" w:color="auto"/>
      </w:divBdr>
    </w:div>
    <w:div w:id="173957253">
      <w:bodyDiv w:val="1"/>
      <w:marLeft w:val="0"/>
      <w:marRight w:val="0"/>
      <w:marTop w:val="0"/>
      <w:marBottom w:val="0"/>
      <w:divBdr>
        <w:top w:val="none" w:sz="0" w:space="0" w:color="auto"/>
        <w:left w:val="none" w:sz="0" w:space="0" w:color="auto"/>
        <w:bottom w:val="none" w:sz="0" w:space="0" w:color="auto"/>
        <w:right w:val="none" w:sz="0" w:space="0" w:color="auto"/>
      </w:divBdr>
    </w:div>
    <w:div w:id="280498567">
      <w:bodyDiv w:val="1"/>
      <w:marLeft w:val="0"/>
      <w:marRight w:val="0"/>
      <w:marTop w:val="0"/>
      <w:marBottom w:val="0"/>
      <w:divBdr>
        <w:top w:val="none" w:sz="0" w:space="0" w:color="auto"/>
        <w:left w:val="none" w:sz="0" w:space="0" w:color="auto"/>
        <w:bottom w:val="none" w:sz="0" w:space="0" w:color="auto"/>
        <w:right w:val="none" w:sz="0" w:space="0" w:color="auto"/>
      </w:divBdr>
    </w:div>
    <w:div w:id="311521704">
      <w:bodyDiv w:val="1"/>
      <w:marLeft w:val="0"/>
      <w:marRight w:val="0"/>
      <w:marTop w:val="0"/>
      <w:marBottom w:val="0"/>
      <w:divBdr>
        <w:top w:val="none" w:sz="0" w:space="0" w:color="auto"/>
        <w:left w:val="none" w:sz="0" w:space="0" w:color="auto"/>
        <w:bottom w:val="none" w:sz="0" w:space="0" w:color="auto"/>
        <w:right w:val="none" w:sz="0" w:space="0" w:color="auto"/>
      </w:divBdr>
    </w:div>
    <w:div w:id="348336990">
      <w:bodyDiv w:val="1"/>
      <w:marLeft w:val="0"/>
      <w:marRight w:val="0"/>
      <w:marTop w:val="0"/>
      <w:marBottom w:val="0"/>
      <w:divBdr>
        <w:top w:val="none" w:sz="0" w:space="0" w:color="auto"/>
        <w:left w:val="none" w:sz="0" w:space="0" w:color="auto"/>
        <w:bottom w:val="none" w:sz="0" w:space="0" w:color="auto"/>
        <w:right w:val="none" w:sz="0" w:space="0" w:color="auto"/>
      </w:divBdr>
    </w:div>
    <w:div w:id="381758585">
      <w:bodyDiv w:val="1"/>
      <w:marLeft w:val="0"/>
      <w:marRight w:val="0"/>
      <w:marTop w:val="0"/>
      <w:marBottom w:val="0"/>
      <w:divBdr>
        <w:top w:val="none" w:sz="0" w:space="0" w:color="auto"/>
        <w:left w:val="none" w:sz="0" w:space="0" w:color="auto"/>
        <w:bottom w:val="none" w:sz="0" w:space="0" w:color="auto"/>
        <w:right w:val="none" w:sz="0" w:space="0" w:color="auto"/>
      </w:divBdr>
    </w:div>
    <w:div w:id="400912224">
      <w:bodyDiv w:val="1"/>
      <w:marLeft w:val="0"/>
      <w:marRight w:val="0"/>
      <w:marTop w:val="0"/>
      <w:marBottom w:val="0"/>
      <w:divBdr>
        <w:top w:val="none" w:sz="0" w:space="0" w:color="auto"/>
        <w:left w:val="none" w:sz="0" w:space="0" w:color="auto"/>
        <w:bottom w:val="none" w:sz="0" w:space="0" w:color="auto"/>
        <w:right w:val="none" w:sz="0" w:space="0" w:color="auto"/>
      </w:divBdr>
    </w:div>
    <w:div w:id="405614368">
      <w:bodyDiv w:val="1"/>
      <w:marLeft w:val="0"/>
      <w:marRight w:val="0"/>
      <w:marTop w:val="0"/>
      <w:marBottom w:val="0"/>
      <w:divBdr>
        <w:top w:val="none" w:sz="0" w:space="0" w:color="auto"/>
        <w:left w:val="none" w:sz="0" w:space="0" w:color="auto"/>
        <w:bottom w:val="none" w:sz="0" w:space="0" w:color="auto"/>
        <w:right w:val="none" w:sz="0" w:space="0" w:color="auto"/>
      </w:divBdr>
    </w:div>
    <w:div w:id="431055473">
      <w:bodyDiv w:val="1"/>
      <w:marLeft w:val="0"/>
      <w:marRight w:val="0"/>
      <w:marTop w:val="0"/>
      <w:marBottom w:val="0"/>
      <w:divBdr>
        <w:top w:val="none" w:sz="0" w:space="0" w:color="auto"/>
        <w:left w:val="none" w:sz="0" w:space="0" w:color="auto"/>
        <w:bottom w:val="none" w:sz="0" w:space="0" w:color="auto"/>
        <w:right w:val="none" w:sz="0" w:space="0" w:color="auto"/>
      </w:divBdr>
    </w:div>
    <w:div w:id="433208066">
      <w:bodyDiv w:val="1"/>
      <w:marLeft w:val="0"/>
      <w:marRight w:val="0"/>
      <w:marTop w:val="0"/>
      <w:marBottom w:val="0"/>
      <w:divBdr>
        <w:top w:val="none" w:sz="0" w:space="0" w:color="auto"/>
        <w:left w:val="none" w:sz="0" w:space="0" w:color="auto"/>
        <w:bottom w:val="none" w:sz="0" w:space="0" w:color="auto"/>
        <w:right w:val="none" w:sz="0" w:space="0" w:color="auto"/>
      </w:divBdr>
    </w:div>
    <w:div w:id="523174395">
      <w:bodyDiv w:val="1"/>
      <w:marLeft w:val="0"/>
      <w:marRight w:val="0"/>
      <w:marTop w:val="0"/>
      <w:marBottom w:val="0"/>
      <w:divBdr>
        <w:top w:val="none" w:sz="0" w:space="0" w:color="auto"/>
        <w:left w:val="none" w:sz="0" w:space="0" w:color="auto"/>
        <w:bottom w:val="none" w:sz="0" w:space="0" w:color="auto"/>
        <w:right w:val="none" w:sz="0" w:space="0" w:color="auto"/>
      </w:divBdr>
    </w:div>
    <w:div w:id="541602628">
      <w:bodyDiv w:val="1"/>
      <w:marLeft w:val="0"/>
      <w:marRight w:val="0"/>
      <w:marTop w:val="0"/>
      <w:marBottom w:val="0"/>
      <w:divBdr>
        <w:top w:val="none" w:sz="0" w:space="0" w:color="auto"/>
        <w:left w:val="none" w:sz="0" w:space="0" w:color="auto"/>
        <w:bottom w:val="none" w:sz="0" w:space="0" w:color="auto"/>
        <w:right w:val="none" w:sz="0" w:space="0" w:color="auto"/>
      </w:divBdr>
    </w:div>
    <w:div w:id="553392289">
      <w:bodyDiv w:val="1"/>
      <w:marLeft w:val="0"/>
      <w:marRight w:val="0"/>
      <w:marTop w:val="0"/>
      <w:marBottom w:val="0"/>
      <w:divBdr>
        <w:top w:val="none" w:sz="0" w:space="0" w:color="auto"/>
        <w:left w:val="none" w:sz="0" w:space="0" w:color="auto"/>
        <w:bottom w:val="none" w:sz="0" w:space="0" w:color="auto"/>
        <w:right w:val="none" w:sz="0" w:space="0" w:color="auto"/>
      </w:divBdr>
    </w:div>
    <w:div w:id="597442664">
      <w:bodyDiv w:val="1"/>
      <w:marLeft w:val="0"/>
      <w:marRight w:val="0"/>
      <w:marTop w:val="0"/>
      <w:marBottom w:val="0"/>
      <w:divBdr>
        <w:top w:val="none" w:sz="0" w:space="0" w:color="auto"/>
        <w:left w:val="none" w:sz="0" w:space="0" w:color="auto"/>
        <w:bottom w:val="none" w:sz="0" w:space="0" w:color="auto"/>
        <w:right w:val="none" w:sz="0" w:space="0" w:color="auto"/>
      </w:divBdr>
    </w:div>
    <w:div w:id="603225289">
      <w:bodyDiv w:val="1"/>
      <w:marLeft w:val="0"/>
      <w:marRight w:val="0"/>
      <w:marTop w:val="0"/>
      <w:marBottom w:val="0"/>
      <w:divBdr>
        <w:top w:val="none" w:sz="0" w:space="0" w:color="auto"/>
        <w:left w:val="none" w:sz="0" w:space="0" w:color="auto"/>
        <w:bottom w:val="none" w:sz="0" w:space="0" w:color="auto"/>
        <w:right w:val="none" w:sz="0" w:space="0" w:color="auto"/>
      </w:divBdr>
    </w:div>
    <w:div w:id="616719084">
      <w:bodyDiv w:val="1"/>
      <w:marLeft w:val="0"/>
      <w:marRight w:val="0"/>
      <w:marTop w:val="0"/>
      <w:marBottom w:val="0"/>
      <w:divBdr>
        <w:top w:val="none" w:sz="0" w:space="0" w:color="auto"/>
        <w:left w:val="none" w:sz="0" w:space="0" w:color="auto"/>
        <w:bottom w:val="none" w:sz="0" w:space="0" w:color="auto"/>
        <w:right w:val="none" w:sz="0" w:space="0" w:color="auto"/>
      </w:divBdr>
    </w:div>
    <w:div w:id="723261261">
      <w:bodyDiv w:val="1"/>
      <w:marLeft w:val="0"/>
      <w:marRight w:val="0"/>
      <w:marTop w:val="0"/>
      <w:marBottom w:val="0"/>
      <w:divBdr>
        <w:top w:val="none" w:sz="0" w:space="0" w:color="auto"/>
        <w:left w:val="none" w:sz="0" w:space="0" w:color="auto"/>
        <w:bottom w:val="none" w:sz="0" w:space="0" w:color="auto"/>
        <w:right w:val="none" w:sz="0" w:space="0" w:color="auto"/>
      </w:divBdr>
    </w:div>
    <w:div w:id="772365388">
      <w:bodyDiv w:val="1"/>
      <w:marLeft w:val="0"/>
      <w:marRight w:val="0"/>
      <w:marTop w:val="0"/>
      <w:marBottom w:val="0"/>
      <w:divBdr>
        <w:top w:val="none" w:sz="0" w:space="0" w:color="auto"/>
        <w:left w:val="none" w:sz="0" w:space="0" w:color="auto"/>
        <w:bottom w:val="none" w:sz="0" w:space="0" w:color="auto"/>
        <w:right w:val="none" w:sz="0" w:space="0" w:color="auto"/>
      </w:divBdr>
    </w:div>
    <w:div w:id="798260063">
      <w:bodyDiv w:val="1"/>
      <w:marLeft w:val="0"/>
      <w:marRight w:val="0"/>
      <w:marTop w:val="0"/>
      <w:marBottom w:val="0"/>
      <w:divBdr>
        <w:top w:val="none" w:sz="0" w:space="0" w:color="auto"/>
        <w:left w:val="none" w:sz="0" w:space="0" w:color="auto"/>
        <w:bottom w:val="none" w:sz="0" w:space="0" w:color="auto"/>
        <w:right w:val="none" w:sz="0" w:space="0" w:color="auto"/>
      </w:divBdr>
    </w:div>
    <w:div w:id="873350221">
      <w:bodyDiv w:val="1"/>
      <w:marLeft w:val="0"/>
      <w:marRight w:val="0"/>
      <w:marTop w:val="0"/>
      <w:marBottom w:val="0"/>
      <w:divBdr>
        <w:top w:val="none" w:sz="0" w:space="0" w:color="auto"/>
        <w:left w:val="none" w:sz="0" w:space="0" w:color="auto"/>
        <w:bottom w:val="none" w:sz="0" w:space="0" w:color="auto"/>
        <w:right w:val="none" w:sz="0" w:space="0" w:color="auto"/>
      </w:divBdr>
    </w:div>
    <w:div w:id="925308597">
      <w:bodyDiv w:val="1"/>
      <w:marLeft w:val="0"/>
      <w:marRight w:val="0"/>
      <w:marTop w:val="0"/>
      <w:marBottom w:val="0"/>
      <w:divBdr>
        <w:top w:val="none" w:sz="0" w:space="0" w:color="auto"/>
        <w:left w:val="none" w:sz="0" w:space="0" w:color="auto"/>
        <w:bottom w:val="none" w:sz="0" w:space="0" w:color="auto"/>
        <w:right w:val="none" w:sz="0" w:space="0" w:color="auto"/>
      </w:divBdr>
    </w:div>
    <w:div w:id="995914803">
      <w:bodyDiv w:val="1"/>
      <w:marLeft w:val="0"/>
      <w:marRight w:val="0"/>
      <w:marTop w:val="0"/>
      <w:marBottom w:val="0"/>
      <w:divBdr>
        <w:top w:val="none" w:sz="0" w:space="0" w:color="auto"/>
        <w:left w:val="none" w:sz="0" w:space="0" w:color="auto"/>
        <w:bottom w:val="none" w:sz="0" w:space="0" w:color="auto"/>
        <w:right w:val="none" w:sz="0" w:space="0" w:color="auto"/>
      </w:divBdr>
    </w:div>
    <w:div w:id="1048839767">
      <w:bodyDiv w:val="1"/>
      <w:marLeft w:val="0"/>
      <w:marRight w:val="0"/>
      <w:marTop w:val="0"/>
      <w:marBottom w:val="0"/>
      <w:divBdr>
        <w:top w:val="none" w:sz="0" w:space="0" w:color="auto"/>
        <w:left w:val="none" w:sz="0" w:space="0" w:color="auto"/>
        <w:bottom w:val="none" w:sz="0" w:space="0" w:color="auto"/>
        <w:right w:val="none" w:sz="0" w:space="0" w:color="auto"/>
      </w:divBdr>
    </w:div>
    <w:div w:id="1110005989">
      <w:bodyDiv w:val="1"/>
      <w:marLeft w:val="0"/>
      <w:marRight w:val="0"/>
      <w:marTop w:val="0"/>
      <w:marBottom w:val="0"/>
      <w:divBdr>
        <w:top w:val="none" w:sz="0" w:space="0" w:color="auto"/>
        <w:left w:val="none" w:sz="0" w:space="0" w:color="auto"/>
        <w:bottom w:val="none" w:sz="0" w:space="0" w:color="auto"/>
        <w:right w:val="none" w:sz="0" w:space="0" w:color="auto"/>
      </w:divBdr>
    </w:div>
    <w:div w:id="1150563105">
      <w:bodyDiv w:val="1"/>
      <w:marLeft w:val="0"/>
      <w:marRight w:val="0"/>
      <w:marTop w:val="0"/>
      <w:marBottom w:val="0"/>
      <w:divBdr>
        <w:top w:val="none" w:sz="0" w:space="0" w:color="auto"/>
        <w:left w:val="none" w:sz="0" w:space="0" w:color="auto"/>
        <w:bottom w:val="none" w:sz="0" w:space="0" w:color="auto"/>
        <w:right w:val="none" w:sz="0" w:space="0" w:color="auto"/>
      </w:divBdr>
    </w:div>
    <w:div w:id="1216156931">
      <w:bodyDiv w:val="1"/>
      <w:marLeft w:val="0"/>
      <w:marRight w:val="0"/>
      <w:marTop w:val="0"/>
      <w:marBottom w:val="0"/>
      <w:divBdr>
        <w:top w:val="none" w:sz="0" w:space="0" w:color="auto"/>
        <w:left w:val="none" w:sz="0" w:space="0" w:color="auto"/>
        <w:bottom w:val="none" w:sz="0" w:space="0" w:color="auto"/>
        <w:right w:val="none" w:sz="0" w:space="0" w:color="auto"/>
      </w:divBdr>
    </w:div>
    <w:div w:id="1257447656">
      <w:bodyDiv w:val="1"/>
      <w:marLeft w:val="0"/>
      <w:marRight w:val="0"/>
      <w:marTop w:val="0"/>
      <w:marBottom w:val="0"/>
      <w:divBdr>
        <w:top w:val="none" w:sz="0" w:space="0" w:color="auto"/>
        <w:left w:val="none" w:sz="0" w:space="0" w:color="auto"/>
        <w:bottom w:val="none" w:sz="0" w:space="0" w:color="auto"/>
        <w:right w:val="none" w:sz="0" w:space="0" w:color="auto"/>
      </w:divBdr>
    </w:div>
    <w:div w:id="1306200478">
      <w:bodyDiv w:val="1"/>
      <w:marLeft w:val="0"/>
      <w:marRight w:val="0"/>
      <w:marTop w:val="0"/>
      <w:marBottom w:val="0"/>
      <w:divBdr>
        <w:top w:val="none" w:sz="0" w:space="0" w:color="auto"/>
        <w:left w:val="none" w:sz="0" w:space="0" w:color="auto"/>
        <w:bottom w:val="none" w:sz="0" w:space="0" w:color="auto"/>
        <w:right w:val="none" w:sz="0" w:space="0" w:color="auto"/>
      </w:divBdr>
    </w:div>
    <w:div w:id="1343164278">
      <w:bodyDiv w:val="1"/>
      <w:marLeft w:val="0"/>
      <w:marRight w:val="0"/>
      <w:marTop w:val="0"/>
      <w:marBottom w:val="0"/>
      <w:divBdr>
        <w:top w:val="none" w:sz="0" w:space="0" w:color="auto"/>
        <w:left w:val="none" w:sz="0" w:space="0" w:color="auto"/>
        <w:bottom w:val="none" w:sz="0" w:space="0" w:color="auto"/>
        <w:right w:val="none" w:sz="0" w:space="0" w:color="auto"/>
      </w:divBdr>
    </w:div>
    <w:div w:id="1454061619">
      <w:bodyDiv w:val="1"/>
      <w:marLeft w:val="0"/>
      <w:marRight w:val="0"/>
      <w:marTop w:val="0"/>
      <w:marBottom w:val="0"/>
      <w:divBdr>
        <w:top w:val="none" w:sz="0" w:space="0" w:color="auto"/>
        <w:left w:val="none" w:sz="0" w:space="0" w:color="auto"/>
        <w:bottom w:val="none" w:sz="0" w:space="0" w:color="auto"/>
        <w:right w:val="none" w:sz="0" w:space="0" w:color="auto"/>
      </w:divBdr>
    </w:div>
    <w:div w:id="1513490280">
      <w:bodyDiv w:val="1"/>
      <w:marLeft w:val="0"/>
      <w:marRight w:val="0"/>
      <w:marTop w:val="0"/>
      <w:marBottom w:val="0"/>
      <w:divBdr>
        <w:top w:val="none" w:sz="0" w:space="0" w:color="auto"/>
        <w:left w:val="none" w:sz="0" w:space="0" w:color="auto"/>
        <w:bottom w:val="none" w:sz="0" w:space="0" w:color="auto"/>
        <w:right w:val="none" w:sz="0" w:space="0" w:color="auto"/>
      </w:divBdr>
    </w:div>
    <w:div w:id="1661615039">
      <w:bodyDiv w:val="1"/>
      <w:marLeft w:val="0"/>
      <w:marRight w:val="0"/>
      <w:marTop w:val="0"/>
      <w:marBottom w:val="0"/>
      <w:divBdr>
        <w:top w:val="none" w:sz="0" w:space="0" w:color="auto"/>
        <w:left w:val="none" w:sz="0" w:space="0" w:color="auto"/>
        <w:bottom w:val="none" w:sz="0" w:space="0" w:color="auto"/>
        <w:right w:val="none" w:sz="0" w:space="0" w:color="auto"/>
      </w:divBdr>
    </w:div>
    <w:div w:id="1707756601">
      <w:bodyDiv w:val="1"/>
      <w:marLeft w:val="0"/>
      <w:marRight w:val="0"/>
      <w:marTop w:val="0"/>
      <w:marBottom w:val="0"/>
      <w:divBdr>
        <w:top w:val="none" w:sz="0" w:space="0" w:color="auto"/>
        <w:left w:val="none" w:sz="0" w:space="0" w:color="auto"/>
        <w:bottom w:val="none" w:sz="0" w:space="0" w:color="auto"/>
        <w:right w:val="none" w:sz="0" w:space="0" w:color="auto"/>
      </w:divBdr>
    </w:div>
    <w:div w:id="1720278670">
      <w:bodyDiv w:val="1"/>
      <w:marLeft w:val="0"/>
      <w:marRight w:val="0"/>
      <w:marTop w:val="0"/>
      <w:marBottom w:val="0"/>
      <w:divBdr>
        <w:top w:val="none" w:sz="0" w:space="0" w:color="auto"/>
        <w:left w:val="none" w:sz="0" w:space="0" w:color="auto"/>
        <w:bottom w:val="none" w:sz="0" w:space="0" w:color="auto"/>
        <w:right w:val="none" w:sz="0" w:space="0" w:color="auto"/>
      </w:divBdr>
    </w:div>
    <w:div w:id="1800807307">
      <w:bodyDiv w:val="1"/>
      <w:marLeft w:val="0"/>
      <w:marRight w:val="0"/>
      <w:marTop w:val="0"/>
      <w:marBottom w:val="0"/>
      <w:divBdr>
        <w:top w:val="none" w:sz="0" w:space="0" w:color="auto"/>
        <w:left w:val="none" w:sz="0" w:space="0" w:color="auto"/>
        <w:bottom w:val="none" w:sz="0" w:space="0" w:color="auto"/>
        <w:right w:val="none" w:sz="0" w:space="0" w:color="auto"/>
      </w:divBdr>
    </w:div>
    <w:div w:id="1908566281">
      <w:bodyDiv w:val="1"/>
      <w:marLeft w:val="0"/>
      <w:marRight w:val="0"/>
      <w:marTop w:val="0"/>
      <w:marBottom w:val="0"/>
      <w:divBdr>
        <w:top w:val="none" w:sz="0" w:space="0" w:color="auto"/>
        <w:left w:val="none" w:sz="0" w:space="0" w:color="auto"/>
        <w:bottom w:val="none" w:sz="0" w:space="0" w:color="auto"/>
        <w:right w:val="none" w:sz="0" w:space="0" w:color="auto"/>
      </w:divBdr>
    </w:div>
    <w:div w:id="1916738652">
      <w:bodyDiv w:val="1"/>
      <w:marLeft w:val="0"/>
      <w:marRight w:val="0"/>
      <w:marTop w:val="0"/>
      <w:marBottom w:val="0"/>
      <w:divBdr>
        <w:top w:val="none" w:sz="0" w:space="0" w:color="auto"/>
        <w:left w:val="none" w:sz="0" w:space="0" w:color="auto"/>
        <w:bottom w:val="none" w:sz="0" w:space="0" w:color="auto"/>
        <w:right w:val="none" w:sz="0" w:space="0" w:color="auto"/>
      </w:divBdr>
    </w:div>
    <w:div w:id="1922834192">
      <w:bodyDiv w:val="1"/>
      <w:marLeft w:val="0"/>
      <w:marRight w:val="0"/>
      <w:marTop w:val="0"/>
      <w:marBottom w:val="0"/>
      <w:divBdr>
        <w:top w:val="none" w:sz="0" w:space="0" w:color="auto"/>
        <w:left w:val="none" w:sz="0" w:space="0" w:color="auto"/>
        <w:bottom w:val="none" w:sz="0" w:space="0" w:color="auto"/>
        <w:right w:val="none" w:sz="0" w:space="0" w:color="auto"/>
      </w:divBdr>
    </w:div>
    <w:div w:id="1934589422">
      <w:bodyDiv w:val="1"/>
      <w:marLeft w:val="0"/>
      <w:marRight w:val="0"/>
      <w:marTop w:val="0"/>
      <w:marBottom w:val="0"/>
      <w:divBdr>
        <w:top w:val="none" w:sz="0" w:space="0" w:color="auto"/>
        <w:left w:val="none" w:sz="0" w:space="0" w:color="auto"/>
        <w:bottom w:val="none" w:sz="0" w:space="0" w:color="auto"/>
        <w:right w:val="none" w:sz="0" w:space="0" w:color="auto"/>
      </w:divBdr>
    </w:div>
    <w:div w:id="1967851189">
      <w:bodyDiv w:val="1"/>
      <w:marLeft w:val="0"/>
      <w:marRight w:val="0"/>
      <w:marTop w:val="0"/>
      <w:marBottom w:val="0"/>
      <w:divBdr>
        <w:top w:val="none" w:sz="0" w:space="0" w:color="auto"/>
        <w:left w:val="none" w:sz="0" w:space="0" w:color="auto"/>
        <w:bottom w:val="none" w:sz="0" w:space="0" w:color="auto"/>
        <w:right w:val="none" w:sz="0" w:space="0" w:color="auto"/>
      </w:divBdr>
    </w:div>
    <w:div w:id="2007435506">
      <w:bodyDiv w:val="1"/>
      <w:marLeft w:val="0"/>
      <w:marRight w:val="0"/>
      <w:marTop w:val="0"/>
      <w:marBottom w:val="0"/>
      <w:divBdr>
        <w:top w:val="none" w:sz="0" w:space="0" w:color="auto"/>
        <w:left w:val="none" w:sz="0" w:space="0" w:color="auto"/>
        <w:bottom w:val="none" w:sz="0" w:space="0" w:color="auto"/>
        <w:right w:val="none" w:sz="0" w:space="0" w:color="auto"/>
      </w:divBdr>
    </w:div>
    <w:div w:id="214122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gauthority.co.uk/media/5003/financial-guidance-august-2018.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gauthority.co.uk/news-publications/news/2018/oga-releases-new-data-packages-to-revitalise-greater-buchan-ar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ukop@ogauthority.co.uk" TargetMode="External"/><Relationship Id="rId5" Type="http://schemas.openxmlformats.org/officeDocument/2006/relationships/customXml" Target="../customXml/item5.xml"/><Relationship Id="rId15" Type="http://schemas.openxmlformats.org/officeDocument/2006/relationships/hyperlink" Target="https://emea01.safelinks.protection.outlook.com/?url=https%3A%2F%2Fwww.ogauthority.co.uk%2Fmedia%2F3974%2Fmarks-scheme-reference-sheet.pdf&amp;data=02%7C01%7Cjen.brzozowska%40ogauthority.co.uk%7Cbbcea955725546a6ee8708d519fee21d%7Ce681c59d868e488780face36f1f21b0f%7C0%7C1%7C636443504866401298&amp;sdata=dwptj79q9njr3B5sZLPpHbkEzIG9NXuKJCnx5RheWes%3D&amp;reserved=0" TargetMode="External"/><Relationship Id="rId10" Type="http://schemas.openxmlformats.org/officeDocument/2006/relationships/hyperlink" Target="mailto:alistair.macfarlane@ogauthority.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atrix" ma:contentTypeID="0x010100B903FF7CD0A2FB42A0432D92D703A20D003DDC16C0559E81469F27E9F57766547C" ma:contentTypeVersion="31" ma:contentTypeDescription="Create a new document." ma:contentTypeScope="" ma:versionID="e5b9839ed441ccf0ac3368afe4f1c695">
  <xsd:schema xmlns:xsd="http://www.w3.org/2001/XMLSchema" xmlns:xs="http://www.w3.org/2001/XMLSchema" xmlns:p="http://schemas.microsoft.com/office/2006/metadata/properties" xmlns:ns2="7b82e486-a350-4b72-b8f3-2640bf6a8994" xmlns:ns3="1607e63c-b144-49fe-b4e3-c51a460d0387" targetNamespace="http://schemas.microsoft.com/office/2006/metadata/properties" ma:root="true" ma:fieldsID="e0fb5a7d514e303808bbed935a252276" ns2:_="" ns3:_="">
    <xsd:import namespace="7b82e486-a350-4b72-b8f3-2640bf6a8994"/>
    <xsd:import namespace="1607e63c-b144-49fe-b4e3-c51a460d0387"/>
    <xsd:element name="properties">
      <xsd:complexType>
        <xsd:sequence>
          <xsd:element name="documentManagement">
            <xsd:complexType>
              <xsd:all>
                <xsd:element ref="ns2:Matrix_x0020_Title" minOccurs="0"/>
                <xsd:element ref="ns2:Date_x0020_Registered" minOccurs="0"/>
                <xsd:element ref="ns2:Descriptor" minOccurs="0"/>
                <xsd:element ref="ns2:Foreign_x0020_Barcode" minOccurs="0"/>
                <xsd:element ref="ns2:ISBN" minOccurs="0"/>
                <xsd:element ref="ns2:ISSN" minOccurs="0"/>
                <xsd:element ref="ns2:Location_x0020_Of_x0020_Original_x0020_Source_x0020_Document" minOccurs="0"/>
                <xsd:element ref="ns2:Non-Matrix_x0020_Author" minOccurs="0"/>
                <xsd:element ref="ns2:Old_x0020_ISBN" minOccurs="0"/>
                <xsd:element ref="ns2:Old_x0020_ISSN" minOccurs="0"/>
                <xsd:element ref="ns2:Owner_x0020_Location" minOccurs="0"/>
                <xsd:element ref="ns2:Physical_x0020_Format" minOccurs="0"/>
                <xsd:element ref="ns2:Protective_x0020_Marking" minOccurs="0"/>
                <xsd:element ref="ns2:Document_x0020_Number" minOccurs="0"/>
                <xsd:element ref="ns2:Registered_x0020_By" minOccurs="0"/>
                <xsd:element ref="ns2:Related_x0020_Records" minOccurs="0"/>
                <xsd:element ref="ns2:TRIM_x0020_Barcode" minOccurs="0"/>
                <xsd:element ref="ns2:URN" minOccurs="0"/>
                <xsd:element ref="ns2:Record_x0020_Type" minOccurs="0"/>
                <xsd:element ref="ns2:Alternative_x0020_Folders" minOccurs="0"/>
                <xsd:element ref="ns2:Folder_x0020_Number" minOccurs="0"/>
                <xsd:element ref="ns2:Document_x0020_Notes" minOccurs="0"/>
                <xsd:element ref="ns2:Linked_x0020_Documents" minOccurs="0"/>
                <xsd:element ref="ns2:Matrix_x0020_Author" minOccurs="0"/>
                <xsd:element ref="ns3:MediaServiceMetadata" minOccurs="0"/>
                <xsd:element ref="ns3:MediaServiceFastMetadata" minOccurs="0"/>
                <xsd:element ref="ns2:Original_x0020_Doc_x0020_ID" minOccurs="0"/>
                <xsd:element ref="ns3:MediaServiceAutoTags" minOccurs="0"/>
                <xsd:element ref="ns3:MediaServiceDateTaken" minOccurs="0"/>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2e486-a350-4b72-b8f3-2640bf6a8994" elementFormDefault="qualified">
    <xsd:import namespace="http://schemas.microsoft.com/office/2006/documentManagement/types"/>
    <xsd:import namespace="http://schemas.microsoft.com/office/infopath/2007/PartnerControls"/>
    <xsd:element name="Matrix_x0020_Title" ma:index="8" nillable="true" ma:displayName="Matrix Title" ma:description="" ma:internalName="Matrix_x0020_Title">
      <xsd:simpleType>
        <xsd:restriction base="dms:Note">
          <xsd:maxLength value="255"/>
        </xsd:restriction>
      </xsd:simpleType>
    </xsd:element>
    <xsd:element name="Date_x0020_Registered" ma:index="9" nillable="true" ma:displayName="Date Registered" ma:description="Please enter the date the item was registered." ma:format="DateOnly" ma:internalName="Date_x0020_Registered">
      <xsd:simpleType>
        <xsd:restriction base="dms:DateTime"/>
      </xsd:simpleType>
    </xsd:element>
    <xsd:element name="Descriptor" ma:index="10" nillable="true" ma:displayName="Descriptor" ma:description="Please enter the descriptor." ma:internalName="Descriptor">
      <xsd:simpleType>
        <xsd:restriction base="dms:Note">
          <xsd:maxLength value="255"/>
        </xsd:restriction>
      </xsd:simpleType>
    </xsd:element>
    <xsd:element name="Foreign_x0020_Barcode" ma:index="11" nillable="true" ma:displayName="Foreign Barcode" ma:description="Please enter the foreign barcode." ma:internalName="Foreign_x0020_Barcode">
      <xsd:simpleType>
        <xsd:restriction base="dms:Text">
          <xsd:maxLength value="255"/>
        </xsd:restriction>
      </xsd:simpleType>
    </xsd:element>
    <xsd:element name="ISBN" ma:index="12" nillable="true" ma:displayName="ISBN" ma:description="" ma:internalName="ISBN">
      <xsd:simpleType>
        <xsd:restriction base="dms:Text">
          <xsd:maxLength value="255"/>
        </xsd:restriction>
      </xsd:simpleType>
    </xsd:element>
    <xsd:element name="ISSN" ma:index="13" nillable="true" ma:displayName="ISSN" ma:description="Please enter the ISSN" ma:internalName="ISSN">
      <xsd:simpleType>
        <xsd:restriction base="dms:Text">
          <xsd:maxLength value="255"/>
        </xsd:restriction>
      </xsd:simpleType>
    </xsd:element>
    <xsd:element name="Location_x0020_Of_x0020_Original_x0020_Source_x0020_Document" ma:index="14" nillable="true" ma:displayName="Location Of Original Source Document" ma:description="Please enter the location of the original source document." ma:internalName="Location_x0020_Of_x0020_Original_x0020_Source_x0020_Document">
      <xsd:simpleType>
        <xsd:restriction base="dms:Note">
          <xsd:maxLength value="255"/>
        </xsd:restriction>
      </xsd:simpleType>
    </xsd:element>
    <xsd:element name="Non-Matrix_x0020_Author" ma:index="15" nillable="true" ma:displayName="Non-Matrix Author" ma:description="Please enter the non-matrix author." ma:internalName="Non_x002d_Matrix_x0020_Author">
      <xsd:simpleType>
        <xsd:restriction base="dms:Text">
          <xsd:maxLength value="255"/>
        </xsd:restriction>
      </xsd:simpleType>
    </xsd:element>
    <xsd:element name="Old_x0020_ISBN" ma:index="16" nillable="true" ma:displayName="Old ISBN" ma:description="Please enter the old ISBN." ma:internalName="Old_x0020_ISBN">
      <xsd:simpleType>
        <xsd:restriction base="dms:Text">
          <xsd:maxLength value="255"/>
        </xsd:restriction>
      </xsd:simpleType>
    </xsd:element>
    <xsd:element name="Old_x0020_ISSN" ma:index="17" nillable="true" ma:displayName="Old ISSN" ma:description="Please enter the old ISSN" ma:internalName="Old_x0020_ISSN">
      <xsd:simpleType>
        <xsd:restriction base="dms:Text">
          <xsd:maxLength value="255"/>
        </xsd:restriction>
      </xsd:simpleType>
    </xsd:element>
    <xsd:element name="Owner_x0020_Location" ma:index="18" nillable="true" ma:displayName="Owner Location" ma:description="Please enter the owner location." ma:internalName="Owner_x0020_Location">
      <xsd:simpleType>
        <xsd:restriction base="dms:Note">
          <xsd:maxLength value="255"/>
        </xsd:restriction>
      </xsd:simpleType>
    </xsd:element>
    <xsd:element name="Physical_x0020_Format" ma:index="19" nillable="true" ma:displayName="Physical Format" ma:description="Please enter the items physical format." ma:internalName="Physical_x0020_Format">
      <xsd:simpleType>
        <xsd:restriction base="dms:Text">
          <xsd:maxLength value="255"/>
        </xsd:restriction>
      </xsd:simpleType>
    </xsd:element>
    <xsd:element name="Protective_x0020_Marking" ma:index="20" nillable="true" ma:displayName="Protective Marking" ma:description="Please enter the protective marking assigned in Matrix." ma:internalName="Protective_x0020_Marking">
      <xsd:simpleType>
        <xsd:restriction base="dms:Text">
          <xsd:maxLength value="255"/>
        </xsd:restriction>
      </xsd:simpleType>
    </xsd:element>
    <xsd:element name="Document_x0020_Number" ma:index="21" nillable="true" ma:displayName="Document Number" ma:description="Please enter the document number for the item." ma:internalName="Document_x0020_Number">
      <xsd:simpleType>
        <xsd:restriction base="dms:Text">
          <xsd:maxLength value="255"/>
        </xsd:restriction>
      </xsd:simpleType>
    </xsd:element>
    <xsd:element name="Registered_x0020_By" ma:index="22" nillable="true" ma:displayName="Registered By" ma:description="Please enter the name of the individual who added the item to Matrix." ma:internalName="Registered_x0020_By">
      <xsd:simpleType>
        <xsd:restriction base="dms:Text">
          <xsd:maxLength value="255"/>
        </xsd:restriction>
      </xsd:simpleType>
    </xsd:element>
    <xsd:element name="Related_x0020_Records" ma:index="23" nillable="true" ma:displayName="Related Records" ma:description="Please enter the IDs of any related records." ma:internalName="Related_x0020_Records">
      <xsd:simpleType>
        <xsd:restriction base="dms:Note">
          <xsd:maxLength value="255"/>
        </xsd:restriction>
      </xsd:simpleType>
    </xsd:element>
    <xsd:element name="TRIM_x0020_Barcode" ma:index="24" nillable="true" ma:displayName="TRIM Barcode" ma:description="Please enter the TRIM barcode." ma:internalName="TRIM_x0020_Barcode">
      <xsd:simpleType>
        <xsd:restriction base="dms:Text">
          <xsd:maxLength value="255"/>
        </xsd:restriction>
      </xsd:simpleType>
    </xsd:element>
    <xsd:element name="URN" ma:index="25" nillable="true" ma:displayName="URN" ma:description="Please enter the uniform resource name." ma:internalName="URN">
      <xsd:simpleType>
        <xsd:restriction base="dms:Text">
          <xsd:maxLength value="255"/>
        </xsd:restriction>
      </xsd:simpleType>
    </xsd:element>
    <xsd:element name="Record_x0020_Type" ma:index="26" nillable="true" ma:displayName="Record Type" ma:description="Matrix Record Type" ma:internalName="Record_x0020_Type">
      <xsd:simpleType>
        <xsd:restriction base="dms:Text">
          <xsd:maxLength value="255"/>
        </xsd:restriction>
      </xsd:simpleType>
    </xsd:element>
    <xsd:element name="Alternative_x0020_Folders" ma:index="27" nillable="true" ma:displayName="Alternative Folders" ma:description="" ma:internalName="Alternative_x0020_Folders">
      <xsd:simpleType>
        <xsd:restriction base="dms:Note">
          <xsd:maxLength value="255"/>
        </xsd:restriction>
      </xsd:simpleType>
    </xsd:element>
    <xsd:element name="Folder_x0020_Number" ma:index="28" nillable="true" ma:displayName="Folder Number" ma:description="" ma:internalName="Folder_x0020_Number">
      <xsd:simpleType>
        <xsd:restriction base="dms:Text">
          <xsd:maxLength value="255"/>
        </xsd:restriction>
      </xsd:simpleType>
    </xsd:element>
    <xsd:element name="Document_x0020_Notes" ma:index="29" nillable="true" ma:displayName="Document Notes" ma:description="Notes field for the item" ma:internalName="Document_x0020_Notes">
      <xsd:simpleType>
        <xsd:restriction base="dms:Note">
          <xsd:maxLength value="255"/>
        </xsd:restriction>
      </xsd:simpleType>
    </xsd:element>
    <xsd:element name="Linked_x0020_Documents" ma:index="30" nillable="true" ma:displayName="Linked Documents" ma:description="Documents linked to this item" ma:internalName="Linked_x0020_Documents">
      <xsd:simpleType>
        <xsd:restriction base="dms:Note">
          <xsd:maxLength value="255"/>
        </xsd:restriction>
      </xsd:simpleType>
    </xsd:element>
    <xsd:element name="Matrix_x0020_Author" ma:index="31" nillable="true" ma:displayName="Matrix Author" ma:description="" ma:internalName="Matrix_x0020_Author">
      <xsd:simpleType>
        <xsd:restriction base="dms:Text">
          <xsd:maxLength value="255"/>
        </xsd:restriction>
      </xsd:simpleType>
    </xsd:element>
    <xsd:element name="Original_x0020_Doc_x0020_ID" ma:index="34" nillable="true" ma:displayName="Original Doc ID" ma:description="" ma:internalName="Original_x0020_Doc_x0020_ID">
      <xsd:simpleType>
        <xsd:restriction base="dms:Text">
          <xsd:maxLength value="255"/>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element name="SharedWithUsers" ma:index="4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7e63c-b144-49fe-b4e3-c51a460d0387"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description="" ma:internalName="MediaServiceAutoTags" ma:readOnly="true">
      <xsd:simpleType>
        <xsd:restriction base="dms:Text"/>
      </xsd:simpleType>
    </xsd:element>
    <xsd:element name="MediaServiceDateTaken" ma:index="36"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rix_x0020_Title xmlns="7b82e486-a350-4b72-b8f3-2640bf6a8994" xsi:nil="true"/>
    <Owner_x0020_Location xmlns="7b82e486-a350-4b72-b8f3-2640bf6a8994" xsi:nil="true"/>
    <Date_x0020_Registered xmlns="7b82e486-a350-4b72-b8f3-2640bf6a8994" xsi:nil="true"/>
    <Folder_x0020_Number xmlns="7b82e486-a350-4b72-b8f3-2640bf6a8994" xsi:nil="true"/>
    <TRIM_x0020_Barcode xmlns="7b82e486-a350-4b72-b8f3-2640bf6a8994" xsi:nil="true"/>
    <Alternative_x0020_Folders xmlns="7b82e486-a350-4b72-b8f3-2640bf6a8994" xsi:nil="true"/>
    <ISBN xmlns="7b82e486-a350-4b72-b8f3-2640bf6a8994" xsi:nil="true"/>
    <Descriptor xmlns="7b82e486-a350-4b72-b8f3-2640bf6a8994" xsi:nil="true"/>
    <ISSN xmlns="7b82e486-a350-4b72-b8f3-2640bf6a8994" xsi:nil="true"/>
    <Document_x0020_Number xmlns="7b82e486-a350-4b72-b8f3-2640bf6a8994" xsi:nil="true"/>
    <Non-Matrix_x0020_Author xmlns="7b82e486-a350-4b72-b8f3-2640bf6a8994" xsi:nil="true"/>
    <Protective_x0020_Marking xmlns="7b82e486-a350-4b72-b8f3-2640bf6a8994" xsi:nil="true"/>
    <Related_x0020_Records xmlns="7b82e486-a350-4b72-b8f3-2640bf6a8994" xsi:nil="true"/>
    <Linked_x0020_Documents xmlns="7b82e486-a350-4b72-b8f3-2640bf6a8994" xsi:nil="true"/>
    <Document_x0020_Notes xmlns="7b82e486-a350-4b72-b8f3-2640bf6a8994" xsi:nil="true"/>
    <Old_x0020_ISSN xmlns="7b82e486-a350-4b72-b8f3-2640bf6a8994" xsi:nil="true"/>
    <Physical_x0020_Format xmlns="7b82e486-a350-4b72-b8f3-2640bf6a8994" xsi:nil="true"/>
    <Record_x0020_Type xmlns="7b82e486-a350-4b72-b8f3-2640bf6a8994" xsi:nil="true"/>
    <Matrix_x0020_Author xmlns="7b82e486-a350-4b72-b8f3-2640bf6a8994" xsi:nil="true"/>
    <URN xmlns="7b82e486-a350-4b72-b8f3-2640bf6a8994" xsi:nil="true"/>
    <Location_x0020_Of_x0020_Original_x0020_Source_x0020_Document xmlns="7b82e486-a350-4b72-b8f3-2640bf6a8994" xsi:nil="true"/>
    <Old_x0020_ISBN xmlns="7b82e486-a350-4b72-b8f3-2640bf6a8994" xsi:nil="true"/>
    <Foreign_x0020_Barcode xmlns="7b82e486-a350-4b72-b8f3-2640bf6a8994" xsi:nil="true"/>
    <Registered_x0020_By xmlns="7b82e486-a350-4b72-b8f3-2640bf6a8994" xsi:nil="true"/>
    <Original_x0020_Doc_x0020_ID xmlns="7b82e486-a350-4b72-b8f3-2640bf6a8994">DECCOGA-63-22240</Original_x0020_Doc_x0020_ID>
    <_dlc_DocId xmlns="7b82e486-a350-4b72-b8f3-2640bf6a8994">OGAUTH-1779127509-35272</_dlc_DocId>
    <_dlc_DocIdUrl xmlns="7b82e486-a350-4b72-b8f3-2640bf6a8994">
      <Url>https://ogauthority.sharepoint.com/sites/ecm/LZU/_layouts/15/DocIdRedir.aspx?ID=OGAUTH-1779127509-35272</Url>
      <Description>OGAUTH-1779127509-35272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EA235-35D0-48D9-BCAA-997055609DDC}">
  <ds:schemaRefs>
    <ds:schemaRef ds:uri="http://schemas.microsoft.com/sharepoint/events"/>
  </ds:schemaRefs>
</ds:datastoreItem>
</file>

<file path=customXml/itemProps2.xml><?xml version="1.0" encoding="utf-8"?>
<ds:datastoreItem xmlns:ds="http://schemas.openxmlformats.org/officeDocument/2006/customXml" ds:itemID="{0C6F856D-BB1E-45D5-BACF-71169271A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2e486-a350-4b72-b8f3-2640bf6a8994"/>
    <ds:schemaRef ds:uri="1607e63c-b144-49fe-b4e3-c51a460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13147-0E18-47FE-AF6D-E3542DD32BAC}">
  <ds:schemaRefs>
    <ds:schemaRef ds:uri="http://purl.org/dc/elements/1.1/"/>
    <ds:schemaRef ds:uri="http://schemas.microsoft.com/office/2006/metadata/properties"/>
    <ds:schemaRef ds:uri="http://schemas.microsoft.com/office/2006/documentManagement/types"/>
    <ds:schemaRef ds:uri="1607e63c-b144-49fe-b4e3-c51a460d0387"/>
    <ds:schemaRef ds:uri="http://purl.org/dc/terms/"/>
    <ds:schemaRef ds:uri="http://schemas.openxmlformats.org/package/2006/metadata/core-properties"/>
    <ds:schemaRef ds:uri="http://purl.org/dc/dcmitype/"/>
    <ds:schemaRef ds:uri="7b82e486-a350-4b72-b8f3-2640bf6a8994"/>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1B4B6A8-E3D5-4F0E-A2F5-C6FB42A96DDC}">
  <ds:schemaRefs>
    <ds:schemaRef ds:uri="http://schemas.microsoft.com/sharepoint/v3/contenttype/forms"/>
  </ds:schemaRefs>
</ds:datastoreItem>
</file>

<file path=customXml/itemProps5.xml><?xml version="1.0" encoding="utf-8"?>
<ds:datastoreItem xmlns:ds="http://schemas.openxmlformats.org/officeDocument/2006/customXml" ds:itemID="{587F4A4A-A682-4B5C-B44D-55A73F4C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5069</Words>
  <Characters>28896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QUESTIONS RAISED IN CONNECTION WITH THE</vt:lpstr>
    </vt:vector>
  </TitlesOfParts>
  <Company>DTI</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RAISED IN CONNECTION WITH THE</dc:title>
  <dc:creator>rbkiff</dc:creator>
  <cp:lastModifiedBy>Ian Furneaux (Oil &amp; Gas Authority)</cp:lastModifiedBy>
  <cp:revision>2</cp:revision>
  <cp:lastPrinted>2018-12-19T13:07:00Z</cp:lastPrinted>
  <dcterms:created xsi:type="dcterms:W3CDTF">2019-04-25T06:49:00Z</dcterms:created>
  <dcterms:modified xsi:type="dcterms:W3CDTF">2019-04-25T06:49:00Z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0x010100B903FF7CD0A2FB42A0432D92D703A20D003DDC16C0559E81469F27E9F57766547C</vt:lpwstr>
  </property>
  <property fmtid="{D5CDD505-2E9C-101B-9397-08002B2CF9AE}" pid="3" name="_dlc_DocIdItemGuid">
    <vt:lpwstr>65b7bf23-4abe-429a-ab5b-a62a609f0fb4</vt:lpwstr>
  </property>
</Properties>
</file>