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49B18" w14:textId="77777777" w:rsidR="002C7126" w:rsidRDefault="00BB1754" w:rsidP="002C7126">
      <w:pPr>
        <w:rPr>
          <w:rFonts w:ascii="Arial" w:hAnsi="Arial" w:cs="Arial"/>
          <w:b/>
          <w:bCs/>
          <w:color w:val="000000"/>
          <w:sz w:val="36"/>
        </w:rPr>
      </w:pPr>
      <w:bookmarkStart w:id="0" w:name="_Hlk12620281"/>
      <w:bookmarkEnd w:id="0"/>
      <w:r w:rsidRPr="002C7126">
        <w:rPr>
          <w:noProof/>
          <w:color w:val="1F497D"/>
          <w:lang w:val="en-GB" w:eastAsia="en-GB"/>
        </w:rPr>
        <w:drawing>
          <wp:inline distT="0" distB="0" distL="0" distR="0" wp14:anchorId="1AC4375D" wp14:editId="192B7579">
            <wp:extent cx="1250315" cy="1044575"/>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315" cy="1044575"/>
                    </a:xfrm>
                    <a:prstGeom prst="rect">
                      <a:avLst/>
                    </a:prstGeom>
                    <a:noFill/>
                    <a:ln>
                      <a:noFill/>
                    </a:ln>
                  </pic:spPr>
                </pic:pic>
              </a:graphicData>
            </a:graphic>
          </wp:inline>
        </w:drawing>
      </w:r>
      <w:r w:rsidR="002C7126">
        <w:rPr>
          <w:rFonts w:ascii="Arial" w:hAnsi="Arial" w:cs="Arial"/>
          <w:b/>
          <w:bCs/>
          <w:color w:val="000000"/>
          <w:sz w:val="36"/>
        </w:rPr>
        <w:t xml:space="preserve"> </w:t>
      </w:r>
    </w:p>
    <w:p w14:paraId="29AEA9F5" w14:textId="77777777" w:rsidR="00827AC3" w:rsidRDefault="00827AC3" w:rsidP="002C7126">
      <w:pPr>
        <w:jc w:val="center"/>
        <w:rPr>
          <w:rFonts w:ascii="Arial" w:hAnsi="Arial" w:cs="Arial"/>
          <w:b/>
          <w:bCs/>
          <w:color w:val="000000"/>
          <w:sz w:val="36"/>
        </w:rPr>
      </w:pPr>
    </w:p>
    <w:p w14:paraId="2CBAE55C" w14:textId="77777777" w:rsidR="005E1C9F" w:rsidRDefault="005E1C9F" w:rsidP="005E1C9F">
      <w:pPr>
        <w:rPr>
          <w:rFonts w:ascii="Arial" w:hAnsi="Arial" w:cs="Arial"/>
          <w:b/>
          <w:bCs/>
          <w:color w:val="000000"/>
        </w:rPr>
      </w:pPr>
    </w:p>
    <w:p w14:paraId="18FDCD98" w14:textId="77777777" w:rsidR="005E1C9F" w:rsidRDefault="005E1C9F" w:rsidP="005E1C9F">
      <w:pPr>
        <w:rPr>
          <w:rFonts w:ascii="Arial" w:hAnsi="Arial" w:cs="Arial"/>
          <w:b/>
          <w:bCs/>
          <w:color w:val="000000"/>
        </w:rPr>
      </w:pPr>
    </w:p>
    <w:p w14:paraId="5BC50B85" w14:textId="77777777" w:rsidR="005E1C9F" w:rsidRDefault="005E1C9F" w:rsidP="005E1C9F">
      <w:pPr>
        <w:rPr>
          <w:rFonts w:ascii="Arial" w:hAnsi="Arial" w:cs="Arial"/>
          <w:b/>
          <w:bCs/>
          <w:color w:val="000000"/>
        </w:rPr>
      </w:pPr>
    </w:p>
    <w:p w14:paraId="3157DC36" w14:textId="77777777" w:rsidR="00865DD1" w:rsidRDefault="00865DD1" w:rsidP="005E1C9F">
      <w:pPr>
        <w:jc w:val="center"/>
        <w:rPr>
          <w:rFonts w:ascii="Arial" w:hAnsi="Arial" w:cs="Arial"/>
          <w:b/>
          <w:bCs/>
          <w:color w:val="000000"/>
          <w:sz w:val="40"/>
          <w:szCs w:val="40"/>
        </w:rPr>
      </w:pPr>
    </w:p>
    <w:p w14:paraId="12A7D6DE" w14:textId="77777777" w:rsidR="006949E8" w:rsidRDefault="006949E8" w:rsidP="005E1C9F">
      <w:pPr>
        <w:jc w:val="center"/>
        <w:rPr>
          <w:rFonts w:ascii="Arial" w:hAnsi="Arial" w:cs="Arial"/>
          <w:b/>
          <w:bCs/>
          <w:color w:val="000000"/>
          <w:sz w:val="40"/>
          <w:szCs w:val="40"/>
        </w:rPr>
      </w:pPr>
    </w:p>
    <w:p w14:paraId="4BEAAE8E" w14:textId="77777777" w:rsidR="00F01571" w:rsidRPr="009E0CFB" w:rsidRDefault="00221385" w:rsidP="005E1C9F">
      <w:pPr>
        <w:jc w:val="center"/>
        <w:rPr>
          <w:rFonts w:ascii="Arial" w:hAnsi="Arial" w:cs="Arial"/>
          <w:b/>
          <w:bCs/>
          <w:color w:val="000000"/>
          <w:sz w:val="40"/>
          <w:szCs w:val="40"/>
          <w:lang w:val="en-GB"/>
        </w:rPr>
      </w:pPr>
      <w:bookmarkStart w:id="1" w:name="_Hlk514146304"/>
      <w:r w:rsidRPr="009E0CFB">
        <w:rPr>
          <w:rFonts w:ascii="Arial" w:hAnsi="Arial" w:cs="Arial"/>
          <w:b/>
          <w:bCs/>
          <w:color w:val="000000"/>
          <w:sz w:val="40"/>
          <w:szCs w:val="40"/>
          <w:lang w:val="en-GB"/>
        </w:rPr>
        <w:t xml:space="preserve">UKCS Decommissioning </w:t>
      </w:r>
    </w:p>
    <w:p w14:paraId="0537685D" w14:textId="77777777" w:rsidR="00140EAB" w:rsidRPr="009E0CFB" w:rsidRDefault="00140EAB" w:rsidP="005E1C9F">
      <w:pPr>
        <w:jc w:val="center"/>
        <w:rPr>
          <w:rFonts w:ascii="Arial" w:hAnsi="Arial" w:cs="Arial"/>
          <w:b/>
          <w:bCs/>
          <w:color w:val="000000"/>
          <w:sz w:val="40"/>
          <w:szCs w:val="40"/>
          <w:lang w:val="en-GB"/>
        </w:rPr>
      </w:pPr>
    </w:p>
    <w:p w14:paraId="39AB650B" w14:textId="0EA99AE9" w:rsidR="00BC0099" w:rsidRPr="009E0CFB" w:rsidRDefault="00022004" w:rsidP="00F01571">
      <w:pPr>
        <w:jc w:val="center"/>
        <w:rPr>
          <w:rFonts w:ascii="Arial" w:hAnsi="Arial" w:cs="Arial"/>
          <w:b/>
          <w:bCs/>
          <w:color w:val="000000"/>
          <w:sz w:val="40"/>
          <w:szCs w:val="40"/>
          <w:lang w:val="en-GB"/>
        </w:rPr>
      </w:pPr>
      <w:r w:rsidRPr="009E0CFB">
        <w:rPr>
          <w:rFonts w:ascii="Arial" w:hAnsi="Arial" w:cs="Arial"/>
          <w:b/>
          <w:bCs/>
          <w:color w:val="000000"/>
          <w:sz w:val="40"/>
          <w:szCs w:val="40"/>
          <w:lang w:val="en-GB"/>
        </w:rPr>
        <w:t>Benchmarking</w:t>
      </w:r>
      <w:r w:rsidR="0059027D" w:rsidRPr="009E0CFB">
        <w:rPr>
          <w:rFonts w:ascii="Arial" w:hAnsi="Arial" w:cs="Arial"/>
          <w:b/>
          <w:bCs/>
          <w:color w:val="000000"/>
          <w:sz w:val="40"/>
          <w:szCs w:val="40"/>
          <w:lang w:val="en-GB"/>
        </w:rPr>
        <w:t xml:space="preserve"> </w:t>
      </w:r>
      <w:r w:rsidR="00F01571" w:rsidRPr="009E0CFB">
        <w:rPr>
          <w:rFonts w:ascii="Arial" w:hAnsi="Arial" w:cs="Arial"/>
          <w:b/>
          <w:bCs/>
          <w:color w:val="000000"/>
          <w:sz w:val="40"/>
          <w:szCs w:val="40"/>
          <w:lang w:val="en-GB"/>
        </w:rPr>
        <w:t>Report</w:t>
      </w:r>
      <w:r w:rsidR="00713482" w:rsidRPr="009E0CFB">
        <w:rPr>
          <w:rFonts w:ascii="Arial" w:hAnsi="Arial" w:cs="Arial"/>
          <w:b/>
          <w:bCs/>
          <w:color w:val="000000"/>
          <w:sz w:val="40"/>
          <w:szCs w:val="40"/>
          <w:lang w:val="en-GB"/>
        </w:rPr>
        <w:t xml:space="preserve"> </w:t>
      </w:r>
      <w:r w:rsidR="00A62F4E">
        <w:rPr>
          <w:rFonts w:ascii="Arial" w:hAnsi="Arial" w:cs="Arial"/>
          <w:b/>
          <w:bCs/>
          <w:color w:val="000000"/>
          <w:sz w:val="40"/>
          <w:szCs w:val="40"/>
          <w:lang w:val="en-GB"/>
        </w:rPr>
        <w:t>2021</w:t>
      </w:r>
    </w:p>
    <w:bookmarkEnd w:id="1"/>
    <w:p w14:paraId="7F5025BE" w14:textId="77777777" w:rsidR="005E1C9F" w:rsidRPr="009E0CFB" w:rsidRDefault="005E1C9F" w:rsidP="005E1C9F">
      <w:pPr>
        <w:jc w:val="center"/>
        <w:rPr>
          <w:rFonts w:ascii="Arial" w:hAnsi="Arial" w:cs="Arial"/>
          <w:b/>
          <w:bCs/>
          <w:color w:val="000000"/>
          <w:lang w:val="en-GB"/>
        </w:rPr>
      </w:pPr>
    </w:p>
    <w:p w14:paraId="40C4E68E" w14:textId="77777777" w:rsidR="00702F0B" w:rsidRPr="009E0CFB" w:rsidRDefault="00702F0B" w:rsidP="005E1C9F">
      <w:pPr>
        <w:jc w:val="center"/>
        <w:rPr>
          <w:rFonts w:ascii="Arial" w:hAnsi="Arial" w:cs="Arial"/>
          <w:b/>
          <w:bCs/>
          <w:color w:val="000000"/>
          <w:lang w:val="en-GB"/>
        </w:rPr>
      </w:pPr>
    </w:p>
    <w:p w14:paraId="5CCDAB3A" w14:textId="77777777" w:rsidR="005E1C9F" w:rsidRPr="009E0CFB" w:rsidRDefault="005E1C9F" w:rsidP="005E1C9F">
      <w:pPr>
        <w:jc w:val="center"/>
        <w:rPr>
          <w:rFonts w:ascii="Arial" w:hAnsi="Arial" w:cs="Arial"/>
          <w:b/>
          <w:bCs/>
          <w:color w:val="000000"/>
          <w:lang w:val="en-GB"/>
        </w:rPr>
      </w:pPr>
    </w:p>
    <w:p w14:paraId="592EC183" w14:textId="77777777" w:rsidR="005E1C9F" w:rsidRPr="009E0CFB" w:rsidRDefault="005E1C9F" w:rsidP="005E1C9F">
      <w:pPr>
        <w:jc w:val="center"/>
        <w:rPr>
          <w:rFonts w:ascii="Arial" w:hAnsi="Arial" w:cs="Arial"/>
          <w:b/>
          <w:bCs/>
          <w:color w:val="000000"/>
          <w:lang w:val="en-GB"/>
        </w:rPr>
      </w:pPr>
    </w:p>
    <w:p w14:paraId="71C29893" w14:textId="77777777" w:rsidR="005E1C9F" w:rsidRPr="009E0CFB" w:rsidRDefault="005E1C9F" w:rsidP="005E1C9F">
      <w:pPr>
        <w:jc w:val="center"/>
        <w:rPr>
          <w:rFonts w:ascii="Arial" w:hAnsi="Arial" w:cs="Arial"/>
          <w:b/>
          <w:bCs/>
          <w:color w:val="000000"/>
          <w:sz w:val="32"/>
          <w:szCs w:val="32"/>
          <w:lang w:val="en-GB"/>
        </w:rPr>
      </w:pPr>
    </w:p>
    <w:p w14:paraId="51644560" w14:textId="145812E4" w:rsidR="005E1C9F" w:rsidRPr="009E0CFB" w:rsidRDefault="00226C62" w:rsidP="005E1C9F">
      <w:pPr>
        <w:jc w:val="center"/>
        <w:rPr>
          <w:rFonts w:ascii="Arial" w:hAnsi="Arial" w:cs="Arial"/>
          <w:b/>
          <w:bCs/>
          <w:color w:val="000000"/>
          <w:lang w:val="en-GB"/>
        </w:rPr>
      </w:pPr>
      <w:r>
        <w:rPr>
          <w:rFonts w:ascii="Arial" w:hAnsi="Arial" w:cs="Arial"/>
          <w:b/>
          <w:bCs/>
          <w:sz w:val="32"/>
          <w:szCs w:val="32"/>
          <w:lang w:val="en-GB"/>
        </w:rPr>
        <w:t>October</w:t>
      </w:r>
      <w:r w:rsidRPr="009E0CFB">
        <w:rPr>
          <w:rFonts w:ascii="Arial" w:hAnsi="Arial" w:cs="Arial"/>
          <w:b/>
          <w:bCs/>
          <w:sz w:val="32"/>
          <w:szCs w:val="32"/>
          <w:lang w:val="en-GB"/>
        </w:rPr>
        <w:t xml:space="preserve"> </w:t>
      </w:r>
      <w:r w:rsidR="00A64CF0" w:rsidRPr="009E0CFB">
        <w:rPr>
          <w:rFonts w:ascii="Arial" w:hAnsi="Arial" w:cs="Arial"/>
          <w:b/>
          <w:bCs/>
          <w:sz w:val="32"/>
          <w:szCs w:val="32"/>
          <w:lang w:val="en-GB"/>
        </w:rPr>
        <w:t>202</w:t>
      </w:r>
      <w:r w:rsidR="00A62F4E">
        <w:rPr>
          <w:rFonts w:ascii="Arial" w:hAnsi="Arial" w:cs="Arial"/>
          <w:b/>
          <w:bCs/>
          <w:sz w:val="32"/>
          <w:szCs w:val="32"/>
          <w:lang w:val="en-GB"/>
        </w:rPr>
        <w:t>1</w:t>
      </w:r>
    </w:p>
    <w:p w14:paraId="0EC64507" w14:textId="77777777" w:rsidR="005E1C9F" w:rsidRPr="009E0CFB" w:rsidRDefault="005E1C9F" w:rsidP="005E1C9F">
      <w:pPr>
        <w:jc w:val="center"/>
        <w:rPr>
          <w:rFonts w:ascii="Arial" w:hAnsi="Arial" w:cs="Arial"/>
          <w:b/>
          <w:bCs/>
          <w:color w:val="000000"/>
          <w:lang w:val="en-GB"/>
        </w:rPr>
      </w:pPr>
    </w:p>
    <w:p w14:paraId="6752C627" w14:textId="77777777" w:rsidR="005E1C9F" w:rsidRPr="009E0CFB" w:rsidRDefault="005E1C9F" w:rsidP="005E1C9F">
      <w:pPr>
        <w:jc w:val="center"/>
        <w:rPr>
          <w:rFonts w:ascii="Arial" w:hAnsi="Arial" w:cs="Arial"/>
          <w:b/>
          <w:bCs/>
          <w:color w:val="000000"/>
          <w:lang w:val="en-GB"/>
        </w:rPr>
      </w:pPr>
    </w:p>
    <w:p w14:paraId="6D88B13D" w14:textId="77777777" w:rsidR="005E1C9F" w:rsidRPr="009E0CFB" w:rsidRDefault="005E1C9F" w:rsidP="005E1C9F">
      <w:pPr>
        <w:jc w:val="center"/>
        <w:rPr>
          <w:rFonts w:ascii="Arial" w:hAnsi="Arial" w:cs="Arial"/>
          <w:b/>
          <w:bCs/>
          <w:color w:val="000000"/>
          <w:lang w:val="en-GB"/>
        </w:rPr>
      </w:pPr>
    </w:p>
    <w:p w14:paraId="300460A8" w14:textId="64B48C4B" w:rsidR="005E1C9F" w:rsidRPr="009E0CFB" w:rsidRDefault="005E1C9F" w:rsidP="005E1C9F">
      <w:pPr>
        <w:jc w:val="center"/>
        <w:rPr>
          <w:rFonts w:ascii="Arial" w:hAnsi="Arial" w:cs="Arial"/>
          <w:b/>
          <w:bCs/>
          <w:color w:val="000000"/>
          <w:lang w:val="en-GB"/>
        </w:rPr>
      </w:pPr>
    </w:p>
    <w:p w14:paraId="2DDAEBF8" w14:textId="703DDEB2" w:rsidR="005E1C9F" w:rsidRPr="009E0CFB" w:rsidRDefault="005E1C9F" w:rsidP="005E1C9F">
      <w:pPr>
        <w:jc w:val="center"/>
        <w:rPr>
          <w:rFonts w:ascii="Arial" w:hAnsi="Arial" w:cs="Arial"/>
          <w:b/>
          <w:bCs/>
          <w:color w:val="000000"/>
          <w:lang w:val="en-GB"/>
        </w:rPr>
      </w:pPr>
    </w:p>
    <w:p w14:paraId="429B47E2" w14:textId="2C9107C6" w:rsidR="005E1C9F" w:rsidRPr="009E0CFB" w:rsidRDefault="005E1C9F" w:rsidP="005E1C9F">
      <w:pPr>
        <w:rPr>
          <w:b/>
          <w:bCs/>
          <w:color w:val="000000"/>
          <w:lang w:val="en-GB"/>
        </w:rPr>
      </w:pPr>
    </w:p>
    <w:p w14:paraId="5A218B2E" w14:textId="5BEC5F9C" w:rsidR="005E1C9F" w:rsidRPr="009E0CFB" w:rsidRDefault="005E1C9F" w:rsidP="005E1C9F">
      <w:pPr>
        <w:jc w:val="both"/>
        <w:rPr>
          <w:b/>
          <w:bCs/>
          <w:color w:val="000000"/>
          <w:lang w:val="en-GB"/>
        </w:rPr>
      </w:pPr>
    </w:p>
    <w:p w14:paraId="53E55AFF" w14:textId="424741C7" w:rsidR="005E1C9F" w:rsidRPr="009E0CFB" w:rsidRDefault="005E1C9F" w:rsidP="005E1C9F">
      <w:pPr>
        <w:jc w:val="both"/>
        <w:rPr>
          <w:b/>
          <w:bCs/>
          <w:color w:val="000000"/>
          <w:lang w:val="en-GB"/>
        </w:rPr>
      </w:pPr>
    </w:p>
    <w:p w14:paraId="20E0C912" w14:textId="668F72B7" w:rsidR="005E1C9F" w:rsidRPr="009E0CFB" w:rsidRDefault="005E1C9F" w:rsidP="005E1C9F">
      <w:pPr>
        <w:jc w:val="both"/>
        <w:rPr>
          <w:b/>
          <w:bCs/>
          <w:color w:val="000000"/>
          <w:lang w:val="en-GB"/>
        </w:rPr>
      </w:pPr>
    </w:p>
    <w:p w14:paraId="6A8E889C" w14:textId="7D770F68" w:rsidR="005E1C9F" w:rsidRPr="009E0CFB" w:rsidRDefault="00075A1D" w:rsidP="005E1C9F">
      <w:pPr>
        <w:jc w:val="both"/>
        <w:rPr>
          <w:b/>
          <w:bCs/>
          <w:color w:val="000000"/>
          <w:lang w:val="en-GB"/>
        </w:rPr>
      </w:pPr>
      <w:r w:rsidRPr="009E0CFB">
        <w:rPr>
          <w:b/>
          <w:bCs/>
          <w:noProof/>
          <w:color w:val="000000"/>
          <w:lang w:val="en-GB"/>
        </w:rPr>
        <mc:AlternateContent>
          <mc:Choice Requires="wps">
            <w:drawing>
              <wp:anchor distT="45720" distB="45720" distL="114300" distR="114300" simplePos="0" relativeHeight="251658240" behindDoc="0" locked="0" layoutInCell="1" allowOverlap="1" wp14:anchorId="748CBA82" wp14:editId="3C5B390D">
                <wp:simplePos x="0" y="0"/>
                <wp:positionH relativeFrom="column">
                  <wp:posOffset>1985645</wp:posOffset>
                </wp:positionH>
                <wp:positionV relativeFrom="paragraph">
                  <wp:posOffset>78740</wp:posOffset>
                </wp:positionV>
                <wp:extent cx="2201545" cy="539115"/>
                <wp:effectExtent l="9525" t="13335" r="8255" b="9525"/>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39115"/>
                        </a:xfrm>
                        <a:prstGeom prst="rect">
                          <a:avLst/>
                        </a:prstGeom>
                        <a:solidFill>
                          <a:srgbClr val="FFFFFF"/>
                        </a:solidFill>
                        <a:ln w="9525">
                          <a:solidFill>
                            <a:srgbClr val="000000"/>
                          </a:solidFill>
                          <a:miter lim="800000"/>
                          <a:headEnd/>
                          <a:tailEnd/>
                        </a:ln>
                      </wps:spPr>
                      <wps:txbx>
                        <w:txbxContent>
                          <w:p w14:paraId="6995AB56" w14:textId="77777777" w:rsidR="00A64CF0" w:rsidRPr="00C41D4F" w:rsidRDefault="00A64CF0" w:rsidP="00C41D4F">
                            <w:pPr>
                              <w:jc w:val="center"/>
                              <w:rPr>
                                <w:color w:val="FF0000"/>
                              </w:rPr>
                            </w:pPr>
                            <w:r>
                              <w:rPr>
                                <w:color w:val="FF0000"/>
                              </w:rPr>
                              <w:t>Note that all graphs in this document to be re-made by Drafting to improve legibility and appearance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8CBA82" id="_x0000_t202" coordsize="21600,21600" o:spt="202" path="m,l,21600r21600,l21600,xe">
                <v:stroke joinstyle="miter"/>
                <v:path gradientshapeok="t" o:connecttype="rect"/>
              </v:shapetype>
              <v:shape id="Text Box 2" o:spid="_x0000_s1026" type="#_x0000_t202" style="position:absolute;left:0;text-align:left;margin-left:156.35pt;margin-top:6.2pt;width:173.35pt;height:42.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">
                <v:textbox style="mso-fit-shape-to-text:t">
                  <w:txbxContent>
                    <w:p w14:paraId="6995AB56" w14:textId="77777777" w:rsidR="00A64CF0" w:rsidRPr="00C41D4F" w:rsidRDefault="00A64CF0" w:rsidP="00C41D4F">
                      <w:pPr>
                        <w:jc w:val="center"/>
                        <w:rPr>
                          <w:color w:val="FF0000"/>
                        </w:rPr>
                      </w:pPr>
                      <w:r>
                        <w:rPr>
                          <w:color w:val="FF0000"/>
                        </w:rPr>
                        <w:t>Note that all graphs in this document to be re-made by Drafting to improve legibility and appearance</w:t>
                      </w:r>
                    </w:p>
                  </w:txbxContent>
                </v:textbox>
                <w10:wrap type="square"/>
              </v:shape>
            </w:pict>
          </mc:Fallback>
        </mc:AlternateContent>
      </w:r>
    </w:p>
    <w:p w14:paraId="791BB70A" w14:textId="77777777" w:rsidR="005E1C9F" w:rsidRPr="009E0CFB" w:rsidRDefault="005E1C9F" w:rsidP="005E1C9F">
      <w:pPr>
        <w:jc w:val="both"/>
        <w:rPr>
          <w:b/>
          <w:bCs/>
          <w:color w:val="000000"/>
          <w:lang w:val="en-GB"/>
        </w:rPr>
      </w:pPr>
    </w:p>
    <w:p w14:paraId="3749E9D4" w14:textId="77777777" w:rsidR="002F413B" w:rsidRPr="009E0CFB" w:rsidRDefault="002F413B" w:rsidP="002F413B">
      <w:pPr>
        <w:rPr>
          <w:rFonts w:ascii="Arial" w:hAnsi="Arial" w:cs="Arial"/>
          <w:b/>
          <w:bCs/>
          <w:color w:val="000000"/>
          <w:sz w:val="22"/>
          <w:lang w:val="en-GB"/>
        </w:rPr>
      </w:pPr>
    </w:p>
    <w:p w14:paraId="299C32C6" w14:textId="77777777" w:rsidR="002F413B" w:rsidRPr="009E0CFB" w:rsidRDefault="002F413B" w:rsidP="002F413B">
      <w:pPr>
        <w:rPr>
          <w:rFonts w:ascii="Arial" w:hAnsi="Arial" w:cs="Arial"/>
          <w:b/>
          <w:bCs/>
          <w:color w:val="000000"/>
          <w:sz w:val="22"/>
          <w:lang w:val="en-GB"/>
        </w:rPr>
      </w:pPr>
    </w:p>
    <w:p w14:paraId="685497B7" w14:textId="77777777" w:rsidR="002F413B" w:rsidRPr="009E0CFB" w:rsidRDefault="002F413B" w:rsidP="002F413B">
      <w:pPr>
        <w:rPr>
          <w:rFonts w:ascii="Arial" w:hAnsi="Arial" w:cs="Arial"/>
          <w:b/>
          <w:bCs/>
          <w:color w:val="000000"/>
          <w:sz w:val="22"/>
          <w:lang w:val="en-GB"/>
        </w:rPr>
      </w:pPr>
    </w:p>
    <w:p w14:paraId="104D33C1" w14:textId="77777777" w:rsidR="002F413B" w:rsidRPr="009E0CFB" w:rsidRDefault="002F413B" w:rsidP="002F413B">
      <w:pPr>
        <w:rPr>
          <w:rFonts w:ascii="Arial" w:hAnsi="Arial" w:cs="Arial"/>
          <w:b/>
          <w:bCs/>
          <w:color w:val="000000"/>
          <w:sz w:val="22"/>
          <w:lang w:val="en-GB"/>
        </w:rPr>
      </w:pPr>
    </w:p>
    <w:p w14:paraId="7CC738A5" w14:textId="77777777" w:rsidR="002F413B" w:rsidRPr="009E0CFB" w:rsidRDefault="002F413B" w:rsidP="002F413B">
      <w:pPr>
        <w:rPr>
          <w:rFonts w:ascii="Arial" w:hAnsi="Arial" w:cs="Arial"/>
          <w:sz w:val="24"/>
          <w:szCs w:val="24"/>
          <w:lang w:val="en-GB"/>
        </w:rPr>
      </w:pPr>
    </w:p>
    <w:p w14:paraId="01D5015D" w14:textId="77777777" w:rsidR="006949E8" w:rsidRPr="009E0CFB" w:rsidRDefault="009A2F07">
      <w:pPr>
        <w:pStyle w:val="TOCHeading"/>
        <w:rPr>
          <w:rFonts w:ascii="Arial" w:hAnsi="Arial" w:cs="Arial"/>
          <w:sz w:val="32"/>
          <w:lang w:val="en-GB"/>
        </w:rPr>
      </w:pPr>
      <w:bookmarkStart w:id="2" w:name="_Toc480042706"/>
      <w:r w:rsidRPr="009E0CFB">
        <w:rPr>
          <w:rFonts w:ascii="Arial" w:hAnsi="Arial" w:cs="Arial"/>
          <w:sz w:val="32"/>
          <w:lang w:val="en-GB"/>
        </w:rPr>
        <w:br w:type="page"/>
      </w:r>
      <w:r w:rsidR="006949E8" w:rsidRPr="009E0CFB">
        <w:rPr>
          <w:rFonts w:ascii="Arial" w:hAnsi="Arial" w:cs="Arial"/>
          <w:sz w:val="32"/>
          <w:lang w:val="en-GB"/>
        </w:rPr>
        <w:t>Contents</w:t>
      </w:r>
    </w:p>
    <w:p w14:paraId="63A20428" w14:textId="77777777" w:rsidR="0019719E" w:rsidRPr="009E0CFB" w:rsidRDefault="0019719E" w:rsidP="0019719E">
      <w:pPr>
        <w:rPr>
          <w:lang w:val="en-GB" w:eastAsia="ja-JP"/>
        </w:rPr>
      </w:pPr>
    </w:p>
    <w:p w14:paraId="1FD84199" w14:textId="49ED80AD" w:rsidR="00AF5127" w:rsidRDefault="006949E8">
      <w:pPr>
        <w:pStyle w:val="TOC1"/>
        <w:rPr>
          <w:rFonts w:asciiTheme="minorHAnsi" w:eastAsiaTheme="minorEastAsia" w:hAnsiTheme="minorHAnsi" w:cstheme="minorBidi"/>
          <w:noProof/>
          <w:sz w:val="22"/>
          <w:szCs w:val="22"/>
          <w:lang w:val="en-GB" w:eastAsia="en-GB"/>
        </w:rPr>
      </w:pPr>
      <w:r w:rsidRPr="008E790C">
        <w:rPr>
          <w:rStyle w:val="Hyperlink"/>
          <w:rFonts w:ascii="Arial" w:hAnsi="Arial" w:cs="Arial"/>
          <w:color w:val="4472C4"/>
          <w:sz w:val="22"/>
          <w:szCs w:val="22"/>
          <w:highlight w:val="yellow"/>
          <w:lang w:val="en-GB"/>
        </w:rPr>
        <w:fldChar w:fldCharType="begin"/>
      </w:r>
      <w:r w:rsidRPr="008E790C">
        <w:rPr>
          <w:rStyle w:val="Hyperlink"/>
          <w:rFonts w:ascii="Arial" w:hAnsi="Arial" w:cs="Arial"/>
          <w:color w:val="4472C4"/>
          <w:sz w:val="22"/>
          <w:szCs w:val="22"/>
          <w:highlight w:val="yellow"/>
          <w:lang w:val="en-GB"/>
        </w:rPr>
        <w:instrText xml:space="preserve"> TOC \o "1-3" \h \z \u </w:instrText>
      </w:r>
      <w:r w:rsidRPr="008E790C">
        <w:rPr>
          <w:rStyle w:val="Hyperlink"/>
          <w:rFonts w:ascii="Arial" w:hAnsi="Arial" w:cs="Arial"/>
          <w:color w:val="4472C4"/>
          <w:sz w:val="22"/>
          <w:szCs w:val="22"/>
          <w:highlight w:val="yellow"/>
          <w:lang w:val="en-GB"/>
        </w:rPr>
        <w:fldChar w:fldCharType="separate"/>
      </w:r>
      <w:hyperlink w:anchor="_Toc85627552" w:history="1">
        <w:r w:rsidR="00AF5127" w:rsidRPr="00BA0932">
          <w:rPr>
            <w:rStyle w:val="Hyperlink"/>
            <w:noProof/>
            <w:lang w:val="en-GB"/>
          </w:rPr>
          <w:t>1.</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Executive summary</w:t>
        </w:r>
        <w:r w:rsidR="00AF5127">
          <w:rPr>
            <w:noProof/>
            <w:webHidden/>
          </w:rPr>
          <w:tab/>
        </w:r>
        <w:r w:rsidR="00AF5127">
          <w:rPr>
            <w:noProof/>
            <w:webHidden/>
          </w:rPr>
          <w:fldChar w:fldCharType="begin"/>
        </w:r>
        <w:r w:rsidR="00AF5127">
          <w:rPr>
            <w:noProof/>
            <w:webHidden/>
          </w:rPr>
          <w:instrText xml:space="preserve"> PAGEREF _Toc85627552 \h </w:instrText>
        </w:r>
        <w:r w:rsidR="00AF5127">
          <w:rPr>
            <w:noProof/>
            <w:webHidden/>
          </w:rPr>
        </w:r>
        <w:r w:rsidR="00AF5127">
          <w:rPr>
            <w:noProof/>
            <w:webHidden/>
          </w:rPr>
          <w:fldChar w:fldCharType="separate"/>
        </w:r>
        <w:r w:rsidR="00AF5127">
          <w:rPr>
            <w:noProof/>
            <w:webHidden/>
          </w:rPr>
          <w:t>3</w:t>
        </w:r>
        <w:r w:rsidR="00AF5127">
          <w:rPr>
            <w:noProof/>
            <w:webHidden/>
          </w:rPr>
          <w:fldChar w:fldCharType="end"/>
        </w:r>
      </w:hyperlink>
    </w:p>
    <w:p w14:paraId="46595F2D" w14:textId="7BCC24E7" w:rsidR="00AF5127" w:rsidRDefault="005C35A9">
      <w:pPr>
        <w:pStyle w:val="TOC1"/>
        <w:rPr>
          <w:rFonts w:asciiTheme="minorHAnsi" w:eastAsiaTheme="minorEastAsia" w:hAnsiTheme="minorHAnsi" w:cstheme="minorBidi"/>
          <w:noProof/>
          <w:sz w:val="22"/>
          <w:szCs w:val="22"/>
          <w:lang w:val="en-GB" w:eastAsia="en-GB"/>
        </w:rPr>
      </w:pPr>
      <w:hyperlink w:anchor="_Toc85627553" w:history="1">
        <w:r w:rsidR="00AF5127" w:rsidRPr="00BA0932">
          <w:rPr>
            <w:rStyle w:val="Hyperlink"/>
            <w:noProof/>
            <w:lang w:val="en-GB"/>
          </w:rPr>
          <w:t>2.</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Benchmark summary</w:t>
        </w:r>
        <w:r w:rsidR="00AF5127">
          <w:rPr>
            <w:noProof/>
            <w:webHidden/>
          </w:rPr>
          <w:tab/>
        </w:r>
        <w:r w:rsidR="00AF5127">
          <w:rPr>
            <w:noProof/>
            <w:webHidden/>
          </w:rPr>
          <w:fldChar w:fldCharType="begin"/>
        </w:r>
        <w:r w:rsidR="00AF5127">
          <w:rPr>
            <w:noProof/>
            <w:webHidden/>
          </w:rPr>
          <w:instrText xml:space="preserve"> PAGEREF _Toc85627553 \h </w:instrText>
        </w:r>
        <w:r w:rsidR="00AF5127">
          <w:rPr>
            <w:noProof/>
            <w:webHidden/>
          </w:rPr>
        </w:r>
        <w:r w:rsidR="00AF5127">
          <w:rPr>
            <w:noProof/>
            <w:webHidden/>
          </w:rPr>
          <w:fldChar w:fldCharType="separate"/>
        </w:r>
        <w:r w:rsidR="00AF5127">
          <w:rPr>
            <w:noProof/>
            <w:webHidden/>
          </w:rPr>
          <w:t>3</w:t>
        </w:r>
        <w:r w:rsidR="00AF5127">
          <w:rPr>
            <w:noProof/>
            <w:webHidden/>
          </w:rPr>
          <w:fldChar w:fldCharType="end"/>
        </w:r>
      </w:hyperlink>
    </w:p>
    <w:p w14:paraId="6DA51DF5" w14:textId="38CE1A17" w:rsidR="00AF5127" w:rsidRDefault="005C35A9">
      <w:pPr>
        <w:pStyle w:val="TOC1"/>
        <w:rPr>
          <w:rFonts w:asciiTheme="minorHAnsi" w:eastAsiaTheme="minorEastAsia" w:hAnsiTheme="minorHAnsi" w:cstheme="minorBidi"/>
          <w:noProof/>
          <w:sz w:val="22"/>
          <w:szCs w:val="22"/>
          <w:lang w:val="en-GB" w:eastAsia="en-GB"/>
        </w:rPr>
      </w:pPr>
      <w:hyperlink w:anchor="_Toc85627554" w:history="1">
        <w:r w:rsidR="00AF5127" w:rsidRPr="00BA0932">
          <w:rPr>
            <w:rStyle w:val="Hyperlink"/>
            <w:noProof/>
            <w:lang w:val="en-GB"/>
          </w:rPr>
          <w:t>3.</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Project Management</w:t>
        </w:r>
        <w:r w:rsidR="00AF5127">
          <w:rPr>
            <w:noProof/>
            <w:webHidden/>
          </w:rPr>
          <w:tab/>
        </w:r>
        <w:r w:rsidR="00AF5127">
          <w:rPr>
            <w:noProof/>
            <w:webHidden/>
          </w:rPr>
          <w:fldChar w:fldCharType="begin"/>
        </w:r>
        <w:r w:rsidR="00AF5127">
          <w:rPr>
            <w:noProof/>
            <w:webHidden/>
          </w:rPr>
          <w:instrText xml:space="preserve"> PAGEREF _Toc85627554 \h </w:instrText>
        </w:r>
        <w:r w:rsidR="00AF5127">
          <w:rPr>
            <w:noProof/>
            <w:webHidden/>
          </w:rPr>
        </w:r>
        <w:r w:rsidR="00AF5127">
          <w:rPr>
            <w:noProof/>
            <w:webHidden/>
          </w:rPr>
          <w:fldChar w:fldCharType="separate"/>
        </w:r>
        <w:r w:rsidR="00AF5127">
          <w:rPr>
            <w:noProof/>
            <w:webHidden/>
          </w:rPr>
          <w:t>4</w:t>
        </w:r>
        <w:r w:rsidR="00AF5127">
          <w:rPr>
            <w:noProof/>
            <w:webHidden/>
          </w:rPr>
          <w:fldChar w:fldCharType="end"/>
        </w:r>
      </w:hyperlink>
    </w:p>
    <w:p w14:paraId="727B2D52" w14:textId="17B96880" w:rsidR="00AF5127" w:rsidRDefault="005C35A9">
      <w:pPr>
        <w:pStyle w:val="TOC1"/>
        <w:rPr>
          <w:rFonts w:asciiTheme="minorHAnsi" w:eastAsiaTheme="minorEastAsia" w:hAnsiTheme="minorHAnsi" w:cstheme="minorBidi"/>
          <w:noProof/>
          <w:sz w:val="22"/>
          <w:szCs w:val="22"/>
          <w:lang w:val="en-GB" w:eastAsia="en-GB"/>
        </w:rPr>
      </w:pPr>
      <w:hyperlink w:anchor="_Toc85627555" w:history="1">
        <w:r w:rsidR="00AF5127" w:rsidRPr="00BA0932">
          <w:rPr>
            <w:rStyle w:val="Hyperlink"/>
            <w:noProof/>
            <w:lang w:val="en-GB"/>
          </w:rPr>
          <w:t>3.1 Projects &lt; £150MM</w:t>
        </w:r>
        <w:r w:rsidR="00AF5127">
          <w:rPr>
            <w:noProof/>
            <w:webHidden/>
          </w:rPr>
          <w:tab/>
        </w:r>
        <w:r w:rsidR="00AF5127">
          <w:rPr>
            <w:noProof/>
            <w:webHidden/>
          </w:rPr>
          <w:fldChar w:fldCharType="begin"/>
        </w:r>
        <w:r w:rsidR="00AF5127">
          <w:rPr>
            <w:noProof/>
            <w:webHidden/>
          </w:rPr>
          <w:instrText xml:space="preserve"> PAGEREF _Toc85627555 \h </w:instrText>
        </w:r>
        <w:r w:rsidR="00AF5127">
          <w:rPr>
            <w:noProof/>
            <w:webHidden/>
          </w:rPr>
        </w:r>
        <w:r w:rsidR="00AF5127">
          <w:rPr>
            <w:noProof/>
            <w:webHidden/>
          </w:rPr>
          <w:fldChar w:fldCharType="separate"/>
        </w:r>
        <w:r w:rsidR="00AF5127">
          <w:rPr>
            <w:noProof/>
            <w:webHidden/>
          </w:rPr>
          <w:t>4</w:t>
        </w:r>
        <w:r w:rsidR="00AF5127">
          <w:rPr>
            <w:noProof/>
            <w:webHidden/>
          </w:rPr>
          <w:fldChar w:fldCharType="end"/>
        </w:r>
      </w:hyperlink>
    </w:p>
    <w:p w14:paraId="7A86A396" w14:textId="18FDEE30" w:rsidR="00AF5127" w:rsidRDefault="005C35A9">
      <w:pPr>
        <w:pStyle w:val="TOC1"/>
        <w:rPr>
          <w:rFonts w:asciiTheme="minorHAnsi" w:eastAsiaTheme="minorEastAsia" w:hAnsiTheme="minorHAnsi" w:cstheme="minorBidi"/>
          <w:noProof/>
          <w:sz w:val="22"/>
          <w:szCs w:val="22"/>
          <w:lang w:val="en-GB" w:eastAsia="en-GB"/>
        </w:rPr>
      </w:pPr>
      <w:hyperlink w:anchor="_Toc85627556" w:history="1">
        <w:r w:rsidR="00AF5127" w:rsidRPr="00BA0932">
          <w:rPr>
            <w:rStyle w:val="Hyperlink"/>
            <w:noProof/>
            <w:lang w:val="en-GB"/>
          </w:rPr>
          <w:t>3.2 Projects &gt; £150MM</w:t>
        </w:r>
        <w:r w:rsidR="00AF5127">
          <w:rPr>
            <w:noProof/>
            <w:webHidden/>
          </w:rPr>
          <w:tab/>
        </w:r>
        <w:r w:rsidR="00AF5127">
          <w:rPr>
            <w:noProof/>
            <w:webHidden/>
          </w:rPr>
          <w:fldChar w:fldCharType="begin"/>
        </w:r>
        <w:r w:rsidR="00AF5127">
          <w:rPr>
            <w:noProof/>
            <w:webHidden/>
          </w:rPr>
          <w:instrText xml:space="preserve"> PAGEREF _Toc85627556 \h </w:instrText>
        </w:r>
        <w:r w:rsidR="00AF5127">
          <w:rPr>
            <w:noProof/>
            <w:webHidden/>
          </w:rPr>
        </w:r>
        <w:r w:rsidR="00AF5127">
          <w:rPr>
            <w:noProof/>
            <w:webHidden/>
          </w:rPr>
          <w:fldChar w:fldCharType="separate"/>
        </w:r>
        <w:r w:rsidR="00AF5127">
          <w:rPr>
            <w:noProof/>
            <w:webHidden/>
          </w:rPr>
          <w:t>5</w:t>
        </w:r>
        <w:r w:rsidR="00AF5127">
          <w:rPr>
            <w:noProof/>
            <w:webHidden/>
          </w:rPr>
          <w:fldChar w:fldCharType="end"/>
        </w:r>
      </w:hyperlink>
    </w:p>
    <w:p w14:paraId="1A3EBAFD" w14:textId="446EB1F9" w:rsidR="00AF5127" w:rsidRDefault="005C35A9">
      <w:pPr>
        <w:pStyle w:val="TOC1"/>
        <w:rPr>
          <w:rFonts w:asciiTheme="minorHAnsi" w:eastAsiaTheme="minorEastAsia" w:hAnsiTheme="minorHAnsi" w:cstheme="minorBidi"/>
          <w:noProof/>
          <w:sz w:val="22"/>
          <w:szCs w:val="22"/>
          <w:lang w:val="en-GB" w:eastAsia="en-GB"/>
        </w:rPr>
      </w:pPr>
      <w:hyperlink w:anchor="_Toc85627557" w:history="1">
        <w:r w:rsidR="00AF5127" w:rsidRPr="00BA0932">
          <w:rPr>
            <w:rStyle w:val="Hyperlink"/>
            <w:rFonts w:cs="Arial"/>
            <w:noProof/>
          </w:rPr>
          <w:t>4.</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Platform Post-CoP Running Costs</w:t>
        </w:r>
        <w:r w:rsidR="00AF5127">
          <w:rPr>
            <w:noProof/>
            <w:webHidden/>
          </w:rPr>
          <w:tab/>
        </w:r>
        <w:r w:rsidR="00AF5127">
          <w:rPr>
            <w:noProof/>
            <w:webHidden/>
          </w:rPr>
          <w:fldChar w:fldCharType="begin"/>
        </w:r>
        <w:r w:rsidR="00AF5127">
          <w:rPr>
            <w:noProof/>
            <w:webHidden/>
          </w:rPr>
          <w:instrText xml:space="preserve"> PAGEREF _Toc85627557 \h </w:instrText>
        </w:r>
        <w:r w:rsidR="00AF5127">
          <w:rPr>
            <w:noProof/>
            <w:webHidden/>
          </w:rPr>
        </w:r>
        <w:r w:rsidR="00AF5127">
          <w:rPr>
            <w:noProof/>
            <w:webHidden/>
          </w:rPr>
          <w:fldChar w:fldCharType="separate"/>
        </w:r>
        <w:r w:rsidR="00AF5127">
          <w:rPr>
            <w:noProof/>
            <w:webHidden/>
          </w:rPr>
          <w:t>7</w:t>
        </w:r>
        <w:r w:rsidR="00AF5127">
          <w:rPr>
            <w:noProof/>
            <w:webHidden/>
          </w:rPr>
          <w:fldChar w:fldCharType="end"/>
        </w:r>
      </w:hyperlink>
    </w:p>
    <w:p w14:paraId="73983B5F" w14:textId="1FC98518" w:rsidR="00AF5127" w:rsidRDefault="005C35A9">
      <w:pPr>
        <w:pStyle w:val="TOC1"/>
        <w:rPr>
          <w:rFonts w:asciiTheme="minorHAnsi" w:eastAsiaTheme="minorEastAsia" w:hAnsiTheme="minorHAnsi" w:cstheme="minorBidi"/>
          <w:noProof/>
          <w:sz w:val="22"/>
          <w:szCs w:val="22"/>
          <w:lang w:val="en-GB" w:eastAsia="en-GB"/>
        </w:rPr>
      </w:pPr>
      <w:hyperlink w:anchor="_Toc85627558" w:history="1">
        <w:r w:rsidR="00AF5127" w:rsidRPr="00BA0932">
          <w:rPr>
            <w:rStyle w:val="Hyperlink"/>
            <w:noProof/>
            <w:lang w:val="en-GB"/>
          </w:rPr>
          <w:t>4.1 Northern North Sea (NNS) &amp; Central North Sea (CNS)</w:t>
        </w:r>
        <w:r w:rsidR="00AF5127">
          <w:rPr>
            <w:noProof/>
            <w:webHidden/>
          </w:rPr>
          <w:tab/>
        </w:r>
        <w:r w:rsidR="00AF5127">
          <w:rPr>
            <w:noProof/>
            <w:webHidden/>
          </w:rPr>
          <w:fldChar w:fldCharType="begin"/>
        </w:r>
        <w:r w:rsidR="00AF5127">
          <w:rPr>
            <w:noProof/>
            <w:webHidden/>
          </w:rPr>
          <w:instrText xml:space="preserve"> PAGEREF _Toc85627558 \h </w:instrText>
        </w:r>
        <w:r w:rsidR="00AF5127">
          <w:rPr>
            <w:noProof/>
            <w:webHidden/>
          </w:rPr>
        </w:r>
        <w:r w:rsidR="00AF5127">
          <w:rPr>
            <w:noProof/>
            <w:webHidden/>
          </w:rPr>
          <w:fldChar w:fldCharType="separate"/>
        </w:r>
        <w:r w:rsidR="00AF5127">
          <w:rPr>
            <w:noProof/>
            <w:webHidden/>
          </w:rPr>
          <w:t>7</w:t>
        </w:r>
        <w:r w:rsidR="00AF5127">
          <w:rPr>
            <w:noProof/>
            <w:webHidden/>
          </w:rPr>
          <w:fldChar w:fldCharType="end"/>
        </w:r>
      </w:hyperlink>
    </w:p>
    <w:p w14:paraId="322AA5F2" w14:textId="7AEBA6D7" w:rsidR="00AF5127" w:rsidRDefault="005C35A9">
      <w:pPr>
        <w:pStyle w:val="TOC1"/>
        <w:rPr>
          <w:rFonts w:asciiTheme="minorHAnsi" w:eastAsiaTheme="minorEastAsia" w:hAnsiTheme="minorHAnsi" w:cstheme="minorBidi"/>
          <w:noProof/>
          <w:sz w:val="22"/>
          <w:szCs w:val="22"/>
          <w:lang w:val="en-GB" w:eastAsia="en-GB"/>
        </w:rPr>
      </w:pPr>
      <w:hyperlink w:anchor="_Toc85627559" w:history="1">
        <w:r w:rsidR="00AF5127" w:rsidRPr="00BA0932">
          <w:rPr>
            <w:rStyle w:val="Hyperlink"/>
            <w:noProof/>
            <w:lang w:val="en-GB"/>
          </w:rPr>
          <w:t>4.2 Southern North Sea (SNS) &amp; East Irish Sea (EIS) – Normally Unattended Installations (NUI)</w:t>
        </w:r>
        <w:r w:rsidR="00AF5127">
          <w:rPr>
            <w:noProof/>
            <w:webHidden/>
          </w:rPr>
          <w:tab/>
        </w:r>
        <w:r w:rsidR="00AF5127">
          <w:rPr>
            <w:noProof/>
            <w:webHidden/>
          </w:rPr>
          <w:fldChar w:fldCharType="begin"/>
        </w:r>
        <w:r w:rsidR="00AF5127">
          <w:rPr>
            <w:noProof/>
            <w:webHidden/>
          </w:rPr>
          <w:instrText xml:space="preserve"> PAGEREF _Toc85627559 \h </w:instrText>
        </w:r>
        <w:r w:rsidR="00AF5127">
          <w:rPr>
            <w:noProof/>
            <w:webHidden/>
          </w:rPr>
        </w:r>
        <w:r w:rsidR="00AF5127">
          <w:rPr>
            <w:noProof/>
            <w:webHidden/>
          </w:rPr>
          <w:fldChar w:fldCharType="separate"/>
        </w:r>
        <w:r w:rsidR="00AF5127">
          <w:rPr>
            <w:noProof/>
            <w:webHidden/>
          </w:rPr>
          <w:t>9</w:t>
        </w:r>
        <w:r w:rsidR="00AF5127">
          <w:rPr>
            <w:noProof/>
            <w:webHidden/>
          </w:rPr>
          <w:fldChar w:fldCharType="end"/>
        </w:r>
      </w:hyperlink>
    </w:p>
    <w:p w14:paraId="292D0743" w14:textId="69137AD7" w:rsidR="00AF5127" w:rsidRDefault="005C35A9">
      <w:pPr>
        <w:pStyle w:val="TOC1"/>
        <w:rPr>
          <w:rFonts w:asciiTheme="minorHAnsi" w:eastAsiaTheme="minorEastAsia" w:hAnsiTheme="minorHAnsi" w:cstheme="minorBidi"/>
          <w:noProof/>
          <w:sz w:val="22"/>
          <w:szCs w:val="22"/>
          <w:lang w:val="en-GB" w:eastAsia="en-GB"/>
        </w:rPr>
      </w:pPr>
      <w:hyperlink w:anchor="_Toc85627560" w:history="1">
        <w:r w:rsidR="00AF5127" w:rsidRPr="00BA0932">
          <w:rPr>
            <w:rStyle w:val="Hyperlink"/>
            <w:noProof/>
            <w:lang w:val="en-GB"/>
          </w:rPr>
          <w:t>4.3 Southern North Sea (SNS) &amp; East Irish Sea (EIS) – Attended Installations</w:t>
        </w:r>
        <w:r w:rsidR="00AF5127">
          <w:rPr>
            <w:noProof/>
            <w:webHidden/>
          </w:rPr>
          <w:tab/>
        </w:r>
        <w:r w:rsidR="00AF5127">
          <w:rPr>
            <w:noProof/>
            <w:webHidden/>
          </w:rPr>
          <w:fldChar w:fldCharType="begin"/>
        </w:r>
        <w:r w:rsidR="00AF5127">
          <w:rPr>
            <w:noProof/>
            <w:webHidden/>
          </w:rPr>
          <w:instrText xml:space="preserve"> PAGEREF _Toc85627560 \h </w:instrText>
        </w:r>
        <w:r w:rsidR="00AF5127">
          <w:rPr>
            <w:noProof/>
            <w:webHidden/>
          </w:rPr>
        </w:r>
        <w:r w:rsidR="00AF5127">
          <w:rPr>
            <w:noProof/>
            <w:webHidden/>
          </w:rPr>
          <w:fldChar w:fldCharType="separate"/>
        </w:r>
        <w:r w:rsidR="00AF5127">
          <w:rPr>
            <w:noProof/>
            <w:webHidden/>
          </w:rPr>
          <w:t>10</w:t>
        </w:r>
        <w:r w:rsidR="00AF5127">
          <w:rPr>
            <w:noProof/>
            <w:webHidden/>
          </w:rPr>
          <w:fldChar w:fldCharType="end"/>
        </w:r>
      </w:hyperlink>
    </w:p>
    <w:p w14:paraId="3F7C60B8" w14:textId="69ADED03" w:rsidR="00AF5127" w:rsidRDefault="005C35A9">
      <w:pPr>
        <w:pStyle w:val="TOC1"/>
        <w:rPr>
          <w:rFonts w:asciiTheme="minorHAnsi" w:eastAsiaTheme="minorEastAsia" w:hAnsiTheme="minorHAnsi" w:cstheme="minorBidi"/>
          <w:noProof/>
          <w:sz w:val="22"/>
          <w:szCs w:val="22"/>
          <w:lang w:val="en-GB" w:eastAsia="en-GB"/>
        </w:rPr>
      </w:pPr>
      <w:hyperlink w:anchor="_Toc85627561" w:history="1">
        <w:r w:rsidR="00AF5127" w:rsidRPr="00BA0932">
          <w:rPr>
            <w:rStyle w:val="Hyperlink"/>
            <w:noProof/>
            <w:lang w:val="en-GB"/>
          </w:rPr>
          <w:t>4.4 FPSO Post-CoP Running Costs in the NNS &amp; CNS</w:t>
        </w:r>
        <w:r w:rsidR="00AF5127">
          <w:rPr>
            <w:noProof/>
            <w:webHidden/>
          </w:rPr>
          <w:tab/>
        </w:r>
        <w:r w:rsidR="00AF5127">
          <w:rPr>
            <w:noProof/>
            <w:webHidden/>
          </w:rPr>
          <w:fldChar w:fldCharType="begin"/>
        </w:r>
        <w:r w:rsidR="00AF5127">
          <w:rPr>
            <w:noProof/>
            <w:webHidden/>
          </w:rPr>
          <w:instrText xml:space="preserve"> PAGEREF _Toc85627561 \h </w:instrText>
        </w:r>
        <w:r w:rsidR="00AF5127">
          <w:rPr>
            <w:noProof/>
            <w:webHidden/>
          </w:rPr>
        </w:r>
        <w:r w:rsidR="00AF5127">
          <w:rPr>
            <w:noProof/>
            <w:webHidden/>
          </w:rPr>
          <w:fldChar w:fldCharType="separate"/>
        </w:r>
        <w:r w:rsidR="00AF5127">
          <w:rPr>
            <w:noProof/>
            <w:webHidden/>
          </w:rPr>
          <w:t>10</w:t>
        </w:r>
        <w:r w:rsidR="00AF5127">
          <w:rPr>
            <w:noProof/>
            <w:webHidden/>
          </w:rPr>
          <w:fldChar w:fldCharType="end"/>
        </w:r>
      </w:hyperlink>
    </w:p>
    <w:p w14:paraId="21974258" w14:textId="3F2E0CA9" w:rsidR="00AF5127" w:rsidRDefault="005C35A9">
      <w:pPr>
        <w:pStyle w:val="TOC1"/>
        <w:rPr>
          <w:rFonts w:asciiTheme="minorHAnsi" w:eastAsiaTheme="minorEastAsia" w:hAnsiTheme="minorHAnsi" w:cstheme="minorBidi"/>
          <w:noProof/>
          <w:sz w:val="22"/>
          <w:szCs w:val="22"/>
          <w:lang w:val="en-GB" w:eastAsia="en-GB"/>
        </w:rPr>
      </w:pPr>
      <w:hyperlink w:anchor="_Toc85627562" w:history="1">
        <w:r w:rsidR="00AF5127" w:rsidRPr="00BA0932">
          <w:rPr>
            <w:rStyle w:val="Hyperlink"/>
            <w:noProof/>
            <w:lang w:val="en-GB"/>
          </w:rPr>
          <w:t>4.5 Cessation of Production (CoP) to Cold Stack: All areas</w:t>
        </w:r>
        <w:r w:rsidR="00AF5127">
          <w:rPr>
            <w:noProof/>
            <w:webHidden/>
          </w:rPr>
          <w:tab/>
        </w:r>
        <w:r w:rsidR="00AF5127">
          <w:rPr>
            <w:noProof/>
            <w:webHidden/>
          </w:rPr>
          <w:fldChar w:fldCharType="begin"/>
        </w:r>
        <w:r w:rsidR="00AF5127">
          <w:rPr>
            <w:noProof/>
            <w:webHidden/>
          </w:rPr>
          <w:instrText xml:space="preserve"> PAGEREF _Toc85627562 \h </w:instrText>
        </w:r>
        <w:r w:rsidR="00AF5127">
          <w:rPr>
            <w:noProof/>
            <w:webHidden/>
          </w:rPr>
        </w:r>
        <w:r w:rsidR="00AF5127">
          <w:rPr>
            <w:noProof/>
            <w:webHidden/>
          </w:rPr>
          <w:fldChar w:fldCharType="separate"/>
        </w:r>
        <w:r w:rsidR="00AF5127">
          <w:rPr>
            <w:noProof/>
            <w:webHidden/>
          </w:rPr>
          <w:t>11</w:t>
        </w:r>
        <w:r w:rsidR="00AF5127">
          <w:rPr>
            <w:noProof/>
            <w:webHidden/>
          </w:rPr>
          <w:fldChar w:fldCharType="end"/>
        </w:r>
      </w:hyperlink>
    </w:p>
    <w:p w14:paraId="42D8F918" w14:textId="0F746006" w:rsidR="00AF5127" w:rsidRDefault="005C35A9">
      <w:pPr>
        <w:pStyle w:val="TOC1"/>
        <w:rPr>
          <w:rFonts w:asciiTheme="minorHAnsi" w:eastAsiaTheme="minorEastAsia" w:hAnsiTheme="minorHAnsi" w:cstheme="minorBidi"/>
          <w:noProof/>
          <w:sz w:val="22"/>
          <w:szCs w:val="22"/>
          <w:lang w:val="en-GB" w:eastAsia="en-GB"/>
        </w:rPr>
      </w:pPr>
      <w:hyperlink w:anchor="_Toc85627563" w:history="1">
        <w:r w:rsidR="00AF5127" w:rsidRPr="00BA0932">
          <w:rPr>
            <w:rStyle w:val="Hyperlink"/>
            <w:noProof/>
            <w:lang w:val="en-GB"/>
          </w:rPr>
          <w:t>5.</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Well Decommissioning</w:t>
        </w:r>
        <w:r w:rsidR="00AF5127">
          <w:rPr>
            <w:noProof/>
            <w:webHidden/>
          </w:rPr>
          <w:tab/>
        </w:r>
        <w:r w:rsidR="00AF5127">
          <w:rPr>
            <w:noProof/>
            <w:webHidden/>
          </w:rPr>
          <w:fldChar w:fldCharType="begin"/>
        </w:r>
        <w:r w:rsidR="00AF5127">
          <w:rPr>
            <w:noProof/>
            <w:webHidden/>
          </w:rPr>
          <w:instrText xml:space="preserve"> PAGEREF _Toc85627563 \h </w:instrText>
        </w:r>
        <w:r w:rsidR="00AF5127">
          <w:rPr>
            <w:noProof/>
            <w:webHidden/>
          </w:rPr>
        </w:r>
        <w:r w:rsidR="00AF5127">
          <w:rPr>
            <w:noProof/>
            <w:webHidden/>
          </w:rPr>
          <w:fldChar w:fldCharType="separate"/>
        </w:r>
        <w:r w:rsidR="00AF5127">
          <w:rPr>
            <w:noProof/>
            <w:webHidden/>
          </w:rPr>
          <w:t>12</w:t>
        </w:r>
        <w:r w:rsidR="00AF5127">
          <w:rPr>
            <w:noProof/>
            <w:webHidden/>
          </w:rPr>
          <w:fldChar w:fldCharType="end"/>
        </w:r>
      </w:hyperlink>
    </w:p>
    <w:p w14:paraId="18D8E05E" w14:textId="2AAAA63E" w:rsidR="00AF5127" w:rsidRDefault="005C35A9">
      <w:pPr>
        <w:pStyle w:val="TOC1"/>
        <w:rPr>
          <w:rFonts w:asciiTheme="minorHAnsi" w:eastAsiaTheme="minorEastAsia" w:hAnsiTheme="minorHAnsi" w:cstheme="minorBidi"/>
          <w:noProof/>
          <w:sz w:val="22"/>
          <w:szCs w:val="22"/>
          <w:lang w:val="en-GB" w:eastAsia="en-GB"/>
        </w:rPr>
      </w:pPr>
      <w:hyperlink w:anchor="_Toc85627564" w:history="1">
        <w:r w:rsidR="00AF5127" w:rsidRPr="00BA0932">
          <w:rPr>
            <w:rStyle w:val="Hyperlink"/>
            <w:noProof/>
            <w:lang w:val="en-GB"/>
          </w:rPr>
          <w:t>5.1 Platform well decommissioning costs</w:t>
        </w:r>
        <w:r w:rsidR="00AF5127">
          <w:rPr>
            <w:noProof/>
            <w:webHidden/>
          </w:rPr>
          <w:tab/>
        </w:r>
        <w:r w:rsidR="00AF5127">
          <w:rPr>
            <w:noProof/>
            <w:webHidden/>
          </w:rPr>
          <w:fldChar w:fldCharType="begin"/>
        </w:r>
        <w:r w:rsidR="00AF5127">
          <w:rPr>
            <w:noProof/>
            <w:webHidden/>
          </w:rPr>
          <w:instrText xml:space="preserve"> PAGEREF _Toc85627564 \h </w:instrText>
        </w:r>
        <w:r w:rsidR="00AF5127">
          <w:rPr>
            <w:noProof/>
            <w:webHidden/>
          </w:rPr>
        </w:r>
        <w:r w:rsidR="00AF5127">
          <w:rPr>
            <w:noProof/>
            <w:webHidden/>
          </w:rPr>
          <w:fldChar w:fldCharType="separate"/>
        </w:r>
        <w:r w:rsidR="00AF5127">
          <w:rPr>
            <w:noProof/>
            <w:webHidden/>
          </w:rPr>
          <w:t>13</w:t>
        </w:r>
        <w:r w:rsidR="00AF5127">
          <w:rPr>
            <w:noProof/>
            <w:webHidden/>
          </w:rPr>
          <w:fldChar w:fldCharType="end"/>
        </w:r>
      </w:hyperlink>
    </w:p>
    <w:p w14:paraId="53243709" w14:textId="6EE8C195" w:rsidR="00AF5127" w:rsidRDefault="005C35A9">
      <w:pPr>
        <w:pStyle w:val="TOC1"/>
        <w:rPr>
          <w:rFonts w:asciiTheme="minorHAnsi" w:eastAsiaTheme="minorEastAsia" w:hAnsiTheme="minorHAnsi" w:cstheme="minorBidi"/>
          <w:noProof/>
          <w:sz w:val="22"/>
          <w:szCs w:val="22"/>
          <w:lang w:val="en-GB" w:eastAsia="en-GB"/>
        </w:rPr>
      </w:pPr>
      <w:hyperlink w:anchor="_Toc85627565" w:history="1">
        <w:r w:rsidR="00AF5127" w:rsidRPr="00BA0932">
          <w:rPr>
            <w:rStyle w:val="Hyperlink"/>
            <w:noProof/>
            <w:lang w:val="en-GB"/>
          </w:rPr>
          <w:t>5.2</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Subsea development well decommissioning costs</w:t>
        </w:r>
        <w:r w:rsidR="00AF5127">
          <w:rPr>
            <w:noProof/>
            <w:webHidden/>
          </w:rPr>
          <w:tab/>
        </w:r>
        <w:r w:rsidR="00AF5127">
          <w:rPr>
            <w:noProof/>
            <w:webHidden/>
          </w:rPr>
          <w:fldChar w:fldCharType="begin"/>
        </w:r>
        <w:r w:rsidR="00AF5127">
          <w:rPr>
            <w:noProof/>
            <w:webHidden/>
          </w:rPr>
          <w:instrText xml:space="preserve"> PAGEREF _Toc85627565 \h </w:instrText>
        </w:r>
        <w:r w:rsidR="00AF5127">
          <w:rPr>
            <w:noProof/>
            <w:webHidden/>
          </w:rPr>
        </w:r>
        <w:r w:rsidR="00AF5127">
          <w:rPr>
            <w:noProof/>
            <w:webHidden/>
          </w:rPr>
          <w:fldChar w:fldCharType="separate"/>
        </w:r>
        <w:r w:rsidR="00AF5127">
          <w:rPr>
            <w:noProof/>
            <w:webHidden/>
          </w:rPr>
          <w:t>19</w:t>
        </w:r>
        <w:r w:rsidR="00AF5127">
          <w:rPr>
            <w:noProof/>
            <w:webHidden/>
          </w:rPr>
          <w:fldChar w:fldCharType="end"/>
        </w:r>
      </w:hyperlink>
    </w:p>
    <w:p w14:paraId="2F6039A6" w14:textId="21D79CBC" w:rsidR="00AF5127" w:rsidRDefault="005C35A9">
      <w:pPr>
        <w:pStyle w:val="TOC1"/>
        <w:rPr>
          <w:rFonts w:asciiTheme="minorHAnsi" w:eastAsiaTheme="minorEastAsia" w:hAnsiTheme="minorHAnsi" w:cstheme="minorBidi"/>
          <w:noProof/>
          <w:sz w:val="22"/>
          <w:szCs w:val="22"/>
          <w:lang w:val="en-GB" w:eastAsia="en-GB"/>
        </w:rPr>
      </w:pPr>
      <w:hyperlink w:anchor="_Toc85627566" w:history="1">
        <w:r w:rsidR="00AF5127" w:rsidRPr="00BA0932">
          <w:rPr>
            <w:rStyle w:val="Hyperlink"/>
            <w:noProof/>
          </w:rPr>
          <w:t>5.4 Subsea Exploration and Appraisal (E&amp;A) well decommissioning costs</w:t>
        </w:r>
        <w:r w:rsidR="00AF5127">
          <w:rPr>
            <w:noProof/>
            <w:webHidden/>
          </w:rPr>
          <w:tab/>
        </w:r>
        <w:r w:rsidR="00AF5127">
          <w:rPr>
            <w:noProof/>
            <w:webHidden/>
          </w:rPr>
          <w:fldChar w:fldCharType="begin"/>
        </w:r>
        <w:r w:rsidR="00AF5127">
          <w:rPr>
            <w:noProof/>
            <w:webHidden/>
          </w:rPr>
          <w:instrText xml:space="preserve"> PAGEREF _Toc85627566 \h </w:instrText>
        </w:r>
        <w:r w:rsidR="00AF5127">
          <w:rPr>
            <w:noProof/>
            <w:webHidden/>
          </w:rPr>
        </w:r>
        <w:r w:rsidR="00AF5127">
          <w:rPr>
            <w:noProof/>
            <w:webHidden/>
          </w:rPr>
          <w:fldChar w:fldCharType="separate"/>
        </w:r>
        <w:r w:rsidR="00AF5127">
          <w:rPr>
            <w:noProof/>
            <w:webHidden/>
          </w:rPr>
          <w:t>20</w:t>
        </w:r>
        <w:r w:rsidR="00AF5127">
          <w:rPr>
            <w:noProof/>
            <w:webHidden/>
          </w:rPr>
          <w:fldChar w:fldCharType="end"/>
        </w:r>
      </w:hyperlink>
    </w:p>
    <w:p w14:paraId="199065EE" w14:textId="4AA6260B" w:rsidR="00AF5127" w:rsidRDefault="005C35A9">
      <w:pPr>
        <w:pStyle w:val="TOC1"/>
        <w:rPr>
          <w:rFonts w:asciiTheme="minorHAnsi" w:eastAsiaTheme="minorEastAsia" w:hAnsiTheme="minorHAnsi" w:cstheme="minorBidi"/>
          <w:noProof/>
          <w:sz w:val="22"/>
          <w:szCs w:val="22"/>
          <w:lang w:val="en-GB" w:eastAsia="en-GB"/>
        </w:rPr>
      </w:pPr>
      <w:hyperlink w:anchor="_Toc85627567" w:history="1">
        <w:r w:rsidR="00AF5127" w:rsidRPr="00BA0932">
          <w:rPr>
            <w:rStyle w:val="Hyperlink"/>
            <w:noProof/>
            <w:lang w:val="en-GB"/>
          </w:rPr>
          <w:t>5.5 Well Decommissioning (days)</w:t>
        </w:r>
        <w:r w:rsidR="00AF5127">
          <w:rPr>
            <w:noProof/>
            <w:webHidden/>
          </w:rPr>
          <w:tab/>
        </w:r>
        <w:r w:rsidR="00AF5127">
          <w:rPr>
            <w:noProof/>
            <w:webHidden/>
          </w:rPr>
          <w:fldChar w:fldCharType="begin"/>
        </w:r>
        <w:r w:rsidR="00AF5127">
          <w:rPr>
            <w:noProof/>
            <w:webHidden/>
          </w:rPr>
          <w:instrText xml:space="preserve"> PAGEREF _Toc85627567 \h </w:instrText>
        </w:r>
        <w:r w:rsidR="00AF5127">
          <w:rPr>
            <w:noProof/>
            <w:webHidden/>
          </w:rPr>
        </w:r>
        <w:r w:rsidR="00AF5127">
          <w:rPr>
            <w:noProof/>
            <w:webHidden/>
          </w:rPr>
          <w:fldChar w:fldCharType="separate"/>
        </w:r>
        <w:r w:rsidR="00AF5127">
          <w:rPr>
            <w:noProof/>
            <w:webHidden/>
          </w:rPr>
          <w:t>23</w:t>
        </w:r>
        <w:r w:rsidR="00AF5127">
          <w:rPr>
            <w:noProof/>
            <w:webHidden/>
          </w:rPr>
          <w:fldChar w:fldCharType="end"/>
        </w:r>
      </w:hyperlink>
    </w:p>
    <w:p w14:paraId="53A32005" w14:textId="3C7B6614" w:rsidR="00AF5127" w:rsidRDefault="005C35A9">
      <w:pPr>
        <w:pStyle w:val="TOC1"/>
        <w:rPr>
          <w:rFonts w:asciiTheme="minorHAnsi" w:eastAsiaTheme="minorEastAsia" w:hAnsiTheme="minorHAnsi" w:cstheme="minorBidi"/>
          <w:noProof/>
          <w:sz w:val="22"/>
          <w:szCs w:val="22"/>
          <w:lang w:val="en-GB" w:eastAsia="en-GB"/>
        </w:rPr>
      </w:pPr>
      <w:hyperlink w:anchor="_Toc85627568" w:history="1">
        <w:r w:rsidR="00AF5127" w:rsidRPr="00BA0932">
          <w:rPr>
            <w:rStyle w:val="Hyperlink"/>
            <w:noProof/>
            <w:lang w:val="en-GB"/>
          </w:rPr>
          <w:t>6.</w:t>
        </w:r>
        <w:r w:rsidR="00AF5127">
          <w:rPr>
            <w:rFonts w:asciiTheme="minorHAnsi" w:eastAsiaTheme="minorEastAsia" w:hAnsiTheme="minorHAnsi" w:cstheme="minorBidi"/>
            <w:noProof/>
            <w:sz w:val="22"/>
            <w:szCs w:val="22"/>
            <w:lang w:val="en-GB" w:eastAsia="en-GB"/>
          </w:rPr>
          <w:tab/>
        </w:r>
        <w:r w:rsidR="00AF5127" w:rsidRPr="00BA0932">
          <w:rPr>
            <w:rStyle w:val="Hyperlink"/>
            <w:noProof/>
            <w:lang w:val="en-GB"/>
          </w:rPr>
          <w:t>FPSO removal (incl. disconnection and tow)</w:t>
        </w:r>
        <w:r w:rsidR="00AF5127">
          <w:rPr>
            <w:noProof/>
            <w:webHidden/>
          </w:rPr>
          <w:tab/>
        </w:r>
        <w:r w:rsidR="00AF5127">
          <w:rPr>
            <w:noProof/>
            <w:webHidden/>
          </w:rPr>
          <w:fldChar w:fldCharType="begin"/>
        </w:r>
        <w:r w:rsidR="00AF5127">
          <w:rPr>
            <w:noProof/>
            <w:webHidden/>
          </w:rPr>
          <w:instrText xml:space="preserve"> PAGEREF _Toc85627568 \h </w:instrText>
        </w:r>
        <w:r w:rsidR="00AF5127">
          <w:rPr>
            <w:noProof/>
            <w:webHidden/>
          </w:rPr>
        </w:r>
        <w:r w:rsidR="00AF5127">
          <w:rPr>
            <w:noProof/>
            <w:webHidden/>
          </w:rPr>
          <w:fldChar w:fldCharType="separate"/>
        </w:r>
        <w:r w:rsidR="00AF5127">
          <w:rPr>
            <w:noProof/>
            <w:webHidden/>
          </w:rPr>
          <w:t>23</w:t>
        </w:r>
        <w:r w:rsidR="00AF5127">
          <w:rPr>
            <w:noProof/>
            <w:webHidden/>
          </w:rPr>
          <w:fldChar w:fldCharType="end"/>
        </w:r>
      </w:hyperlink>
    </w:p>
    <w:p w14:paraId="34104160" w14:textId="7CF908DA" w:rsidR="00AF5127" w:rsidRDefault="005C35A9">
      <w:pPr>
        <w:pStyle w:val="TOC1"/>
        <w:rPr>
          <w:rFonts w:asciiTheme="minorHAnsi" w:eastAsiaTheme="minorEastAsia" w:hAnsiTheme="minorHAnsi" w:cstheme="minorBidi"/>
          <w:noProof/>
          <w:sz w:val="22"/>
          <w:szCs w:val="22"/>
          <w:lang w:val="en-GB" w:eastAsia="en-GB"/>
        </w:rPr>
      </w:pPr>
      <w:hyperlink w:anchor="_Toc85627569" w:history="1">
        <w:r w:rsidR="00AF5127" w:rsidRPr="00BA0932">
          <w:rPr>
            <w:rStyle w:val="Hyperlink"/>
            <w:noProof/>
          </w:rPr>
          <w:t>6.1 NNS &amp; CNS</w:t>
        </w:r>
        <w:r w:rsidR="00AF5127">
          <w:rPr>
            <w:noProof/>
            <w:webHidden/>
          </w:rPr>
          <w:tab/>
        </w:r>
        <w:r w:rsidR="00AF5127">
          <w:rPr>
            <w:noProof/>
            <w:webHidden/>
          </w:rPr>
          <w:fldChar w:fldCharType="begin"/>
        </w:r>
        <w:r w:rsidR="00AF5127">
          <w:rPr>
            <w:noProof/>
            <w:webHidden/>
          </w:rPr>
          <w:instrText xml:space="preserve"> PAGEREF _Toc85627569 \h </w:instrText>
        </w:r>
        <w:r w:rsidR="00AF5127">
          <w:rPr>
            <w:noProof/>
            <w:webHidden/>
          </w:rPr>
        </w:r>
        <w:r w:rsidR="00AF5127">
          <w:rPr>
            <w:noProof/>
            <w:webHidden/>
          </w:rPr>
          <w:fldChar w:fldCharType="separate"/>
        </w:r>
        <w:r w:rsidR="00AF5127">
          <w:rPr>
            <w:noProof/>
            <w:webHidden/>
          </w:rPr>
          <w:t>23</w:t>
        </w:r>
        <w:r w:rsidR="00AF5127">
          <w:rPr>
            <w:noProof/>
            <w:webHidden/>
          </w:rPr>
          <w:fldChar w:fldCharType="end"/>
        </w:r>
      </w:hyperlink>
    </w:p>
    <w:p w14:paraId="6EA8C661" w14:textId="4E832482" w:rsidR="00AF5127" w:rsidRDefault="005C35A9">
      <w:pPr>
        <w:pStyle w:val="TOC1"/>
        <w:rPr>
          <w:rFonts w:asciiTheme="minorHAnsi" w:eastAsiaTheme="minorEastAsia" w:hAnsiTheme="minorHAnsi" w:cstheme="minorBidi"/>
          <w:noProof/>
          <w:sz w:val="22"/>
          <w:szCs w:val="22"/>
          <w:lang w:val="en-GB" w:eastAsia="en-GB"/>
        </w:rPr>
      </w:pPr>
      <w:hyperlink w:anchor="_Toc85627570" w:history="1">
        <w:r w:rsidR="00AF5127" w:rsidRPr="00BA0932">
          <w:rPr>
            <w:rStyle w:val="Hyperlink"/>
            <w:noProof/>
            <w:lang w:val="en-GB"/>
          </w:rPr>
          <w:t>Appendices</w:t>
        </w:r>
        <w:r w:rsidR="00AF5127">
          <w:rPr>
            <w:noProof/>
            <w:webHidden/>
          </w:rPr>
          <w:tab/>
        </w:r>
        <w:r w:rsidR="00AF5127">
          <w:rPr>
            <w:noProof/>
            <w:webHidden/>
          </w:rPr>
          <w:fldChar w:fldCharType="begin"/>
        </w:r>
        <w:r w:rsidR="00AF5127">
          <w:rPr>
            <w:noProof/>
            <w:webHidden/>
          </w:rPr>
          <w:instrText xml:space="preserve"> PAGEREF _Toc85627570 \h </w:instrText>
        </w:r>
        <w:r w:rsidR="00AF5127">
          <w:rPr>
            <w:noProof/>
            <w:webHidden/>
          </w:rPr>
        </w:r>
        <w:r w:rsidR="00AF5127">
          <w:rPr>
            <w:noProof/>
            <w:webHidden/>
          </w:rPr>
          <w:fldChar w:fldCharType="separate"/>
        </w:r>
        <w:r w:rsidR="00AF5127">
          <w:rPr>
            <w:noProof/>
            <w:webHidden/>
          </w:rPr>
          <w:t>25</w:t>
        </w:r>
        <w:r w:rsidR="00AF5127">
          <w:rPr>
            <w:noProof/>
            <w:webHidden/>
          </w:rPr>
          <w:fldChar w:fldCharType="end"/>
        </w:r>
      </w:hyperlink>
    </w:p>
    <w:p w14:paraId="5BCF7484" w14:textId="44E84F47" w:rsidR="00AF5127" w:rsidRDefault="005C35A9">
      <w:pPr>
        <w:pStyle w:val="TOC1"/>
        <w:rPr>
          <w:rFonts w:asciiTheme="minorHAnsi" w:eastAsiaTheme="minorEastAsia" w:hAnsiTheme="minorHAnsi" w:cstheme="minorBidi"/>
          <w:noProof/>
          <w:sz w:val="22"/>
          <w:szCs w:val="22"/>
          <w:lang w:val="en-GB" w:eastAsia="en-GB"/>
        </w:rPr>
      </w:pPr>
      <w:hyperlink w:anchor="_Toc85627571" w:history="1">
        <w:r w:rsidR="00AF5127" w:rsidRPr="00BA0932">
          <w:rPr>
            <w:rStyle w:val="Hyperlink"/>
            <w:noProof/>
            <w:lang w:val="en-GB"/>
          </w:rPr>
          <w:t>Appendix 1: Benchmark representation of cost performance and uncertainty</w:t>
        </w:r>
        <w:r w:rsidR="00AF5127">
          <w:rPr>
            <w:noProof/>
            <w:webHidden/>
          </w:rPr>
          <w:tab/>
        </w:r>
        <w:r w:rsidR="00AF5127">
          <w:rPr>
            <w:noProof/>
            <w:webHidden/>
          </w:rPr>
          <w:fldChar w:fldCharType="begin"/>
        </w:r>
        <w:r w:rsidR="00AF5127">
          <w:rPr>
            <w:noProof/>
            <w:webHidden/>
          </w:rPr>
          <w:instrText xml:space="preserve"> PAGEREF _Toc85627571 \h </w:instrText>
        </w:r>
        <w:r w:rsidR="00AF5127">
          <w:rPr>
            <w:noProof/>
            <w:webHidden/>
          </w:rPr>
        </w:r>
        <w:r w:rsidR="00AF5127">
          <w:rPr>
            <w:noProof/>
            <w:webHidden/>
          </w:rPr>
          <w:fldChar w:fldCharType="separate"/>
        </w:r>
        <w:r w:rsidR="00AF5127">
          <w:rPr>
            <w:noProof/>
            <w:webHidden/>
          </w:rPr>
          <w:t>25</w:t>
        </w:r>
        <w:r w:rsidR="00AF5127">
          <w:rPr>
            <w:noProof/>
            <w:webHidden/>
          </w:rPr>
          <w:fldChar w:fldCharType="end"/>
        </w:r>
      </w:hyperlink>
    </w:p>
    <w:p w14:paraId="40B5E0C4" w14:textId="716E5899" w:rsidR="00AF5127" w:rsidRDefault="005C35A9">
      <w:pPr>
        <w:pStyle w:val="TOC1"/>
        <w:rPr>
          <w:rFonts w:asciiTheme="minorHAnsi" w:eastAsiaTheme="minorEastAsia" w:hAnsiTheme="minorHAnsi" w:cstheme="minorBidi"/>
          <w:noProof/>
          <w:sz w:val="22"/>
          <w:szCs w:val="22"/>
          <w:lang w:val="en-GB" w:eastAsia="en-GB"/>
        </w:rPr>
      </w:pPr>
      <w:hyperlink w:anchor="_Toc85627572" w:history="1">
        <w:r w:rsidR="00AF5127" w:rsidRPr="00BA0932">
          <w:rPr>
            <w:rStyle w:val="Hyperlink"/>
            <w:noProof/>
            <w:lang w:val="en-GB"/>
          </w:rPr>
          <w:t>Appendix 2: Data screening rule-set</w:t>
        </w:r>
        <w:r w:rsidR="00AF5127">
          <w:rPr>
            <w:noProof/>
            <w:webHidden/>
          </w:rPr>
          <w:tab/>
        </w:r>
        <w:r w:rsidR="00AF5127">
          <w:rPr>
            <w:noProof/>
            <w:webHidden/>
          </w:rPr>
          <w:fldChar w:fldCharType="begin"/>
        </w:r>
        <w:r w:rsidR="00AF5127">
          <w:rPr>
            <w:noProof/>
            <w:webHidden/>
          </w:rPr>
          <w:instrText xml:space="preserve"> PAGEREF _Toc85627572 \h </w:instrText>
        </w:r>
        <w:r w:rsidR="00AF5127">
          <w:rPr>
            <w:noProof/>
            <w:webHidden/>
          </w:rPr>
        </w:r>
        <w:r w:rsidR="00AF5127">
          <w:rPr>
            <w:noProof/>
            <w:webHidden/>
          </w:rPr>
          <w:fldChar w:fldCharType="separate"/>
        </w:r>
        <w:r w:rsidR="00AF5127">
          <w:rPr>
            <w:noProof/>
            <w:webHidden/>
          </w:rPr>
          <w:t>26</w:t>
        </w:r>
        <w:r w:rsidR="00AF5127">
          <w:rPr>
            <w:noProof/>
            <w:webHidden/>
          </w:rPr>
          <w:fldChar w:fldCharType="end"/>
        </w:r>
      </w:hyperlink>
    </w:p>
    <w:p w14:paraId="606F13CB" w14:textId="1C7C9FDD" w:rsidR="0094778D" w:rsidRPr="009E0CFB" w:rsidRDefault="006949E8" w:rsidP="00C41D4F">
      <w:pPr>
        <w:pStyle w:val="TOC1"/>
        <w:rPr>
          <w:rStyle w:val="Hyperlink"/>
          <w:rFonts w:ascii="Arial" w:hAnsi="Arial" w:cs="Arial"/>
          <w:color w:val="0070C0"/>
          <w:sz w:val="24"/>
          <w:szCs w:val="24"/>
          <w:lang w:val="en-GB"/>
        </w:rPr>
      </w:pPr>
      <w:r w:rsidRPr="008E790C">
        <w:rPr>
          <w:rStyle w:val="Hyperlink"/>
          <w:rFonts w:ascii="Arial" w:hAnsi="Arial" w:cs="Arial"/>
          <w:color w:val="4472C4"/>
          <w:sz w:val="22"/>
          <w:szCs w:val="22"/>
          <w:highlight w:val="yellow"/>
          <w:lang w:val="en-GB"/>
        </w:rPr>
        <w:fldChar w:fldCharType="end"/>
      </w:r>
    </w:p>
    <w:p w14:paraId="205742B1" w14:textId="77777777" w:rsidR="006949E8" w:rsidRPr="009E0CFB" w:rsidRDefault="00343DEE" w:rsidP="003A3EE0">
      <w:pPr>
        <w:pStyle w:val="Heading1"/>
        <w:numPr>
          <w:ilvl w:val="0"/>
          <w:numId w:val="25"/>
        </w:numPr>
        <w:spacing w:after="120"/>
        <w:ind w:left="142" w:hanging="142"/>
        <w:jc w:val="left"/>
        <w:rPr>
          <w:lang w:val="en-GB"/>
        </w:rPr>
      </w:pPr>
      <w:r w:rsidRPr="009E0CFB">
        <w:rPr>
          <w:lang w:val="en-GB"/>
        </w:rPr>
        <w:br w:type="page"/>
      </w:r>
    </w:p>
    <w:p w14:paraId="4EA64203" w14:textId="77777777" w:rsidR="003004C4" w:rsidRPr="009E0CFB" w:rsidRDefault="006949E8" w:rsidP="003A3EE0">
      <w:pPr>
        <w:pStyle w:val="Heading1"/>
        <w:numPr>
          <w:ilvl w:val="0"/>
          <w:numId w:val="40"/>
        </w:numPr>
        <w:ind w:left="284"/>
        <w:jc w:val="left"/>
        <w:rPr>
          <w:color w:val="0070C0"/>
          <w:lang w:val="en-GB"/>
        </w:rPr>
      </w:pPr>
      <w:bookmarkStart w:id="3" w:name="_Toc484594883"/>
      <w:bookmarkStart w:id="4" w:name="_Toc484594954"/>
      <w:bookmarkStart w:id="5" w:name="_Toc484595031"/>
      <w:bookmarkStart w:id="6" w:name="_Toc85627552"/>
      <w:r w:rsidRPr="009E0CFB">
        <w:rPr>
          <w:color w:val="0070C0"/>
          <w:lang w:val="en-GB"/>
        </w:rPr>
        <w:t xml:space="preserve">Executive </w:t>
      </w:r>
      <w:bookmarkEnd w:id="2"/>
      <w:bookmarkEnd w:id="3"/>
      <w:bookmarkEnd w:id="4"/>
      <w:bookmarkEnd w:id="5"/>
      <w:r w:rsidR="00DF4314" w:rsidRPr="009E0CFB">
        <w:rPr>
          <w:color w:val="0070C0"/>
          <w:lang w:val="en-GB"/>
        </w:rPr>
        <w:t>summary</w:t>
      </w:r>
      <w:bookmarkEnd w:id="6"/>
    </w:p>
    <w:p w14:paraId="5B3F5264" w14:textId="63EA284E" w:rsidR="003004C4" w:rsidRDefault="003004C4" w:rsidP="003004C4">
      <w:pPr>
        <w:rPr>
          <w:rFonts w:ascii="Arial" w:hAnsi="Arial"/>
          <w:b/>
          <w:sz w:val="28"/>
          <w:lang w:val="en-GB"/>
        </w:rPr>
      </w:pPr>
    </w:p>
    <w:p w14:paraId="6A9AC584" w14:textId="50925650" w:rsidR="00C06EF8" w:rsidRPr="008436B2" w:rsidRDefault="00C06EF8" w:rsidP="00180936">
      <w:pPr>
        <w:jc w:val="both"/>
        <w:rPr>
          <w:rFonts w:ascii="Arial" w:hAnsi="Arial" w:cs="Arial"/>
          <w:sz w:val="22"/>
          <w:lang w:val="en-GB"/>
        </w:rPr>
      </w:pPr>
      <w:bookmarkStart w:id="7" w:name="_MON_1621322027"/>
      <w:bookmarkStart w:id="8" w:name="_Toc12820542"/>
      <w:bookmarkStart w:id="9" w:name="_Toc12820625"/>
      <w:bookmarkStart w:id="10" w:name="_Toc12820695"/>
      <w:bookmarkStart w:id="11" w:name="_Toc12821262"/>
      <w:bookmarkStart w:id="12" w:name="_Toc484594884"/>
      <w:bookmarkStart w:id="13" w:name="_Toc484594955"/>
      <w:bookmarkStart w:id="14" w:name="_Toc484595032"/>
      <w:bookmarkEnd w:id="7"/>
      <w:bookmarkEnd w:id="8"/>
      <w:bookmarkEnd w:id="9"/>
      <w:bookmarkEnd w:id="10"/>
      <w:bookmarkEnd w:id="11"/>
      <w:r w:rsidRPr="008436B2">
        <w:rPr>
          <w:rFonts w:ascii="Arial" w:hAnsi="Arial" w:cs="Arial"/>
          <w:sz w:val="22"/>
          <w:lang w:val="en-GB"/>
        </w:rPr>
        <w:t xml:space="preserve">Managing the </w:t>
      </w:r>
      <w:r w:rsidR="0036318F" w:rsidRPr="008436B2">
        <w:rPr>
          <w:rFonts w:ascii="Arial" w:hAnsi="Arial" w:cs="Arial"/>
          <w:sz w:val="22"/>
          <w:lang w:val="en-GB"/>
        </w:rPr>
        <w:t>UKCS</w:t>
      </w:r>
      <w:r w:rsidRPr="008436B2">
        <w:rPr>
          <w:rFonts w:ascii="Arial" w:hAnsi="Arial" w:cs="Arial"/>
          <w:sz w:val="22"/>
          <w:lang w:val="en-GB"/>
        </w:rPr>
        <w:t xml:space="preserve"> declining production to maximise </w:t>
      </w:r>
      <w:r w:rsidR="00694916">
        <w:rPr>
          <w:rFonts w:ascii="Arial" w:hAnsi="Arial" w:cs="Arial"/>
          <w:sz w:val="22"/>
          <w:lang w:val="en-GB"/>
        </w:rPr>
        <w:t xml:space="preserve">the remaining </w:t>
      </w:r>
      <w:r w:rsidRPr="008436B2">
        <w:rPr>
          <w:rFonts w:ascii="Arial" w:hAnsi="Arial" w:cs="Arial"/>
          <w:sz w:val="22"/>
          <w:lang w:val="en-GB"/>
        </w:rPr>
        <w:t xml:space="preserve">value from the </w:t>
      </w:r>
      <w:r w:rsidR="0080516B" w:rsidRPr="008436B2">
        <w:rPr>
          <w:rFonts w:ascii="Arial" w:hAnsi="Arial" w:cs="Arial"/>
          <w:sz w:val="22"/>
          <w:lang w:val="en-GB"/>
        </w:rPr>
        <w:t>basin</w:t>
      </w:r>
      <w:r w:rsidRPr="008436B2">
        <w:rPr>
          <w:rFonts w:ascii="Arial" w:hAnsi="Arial" w:cs="Arial"/>
          <w:sz w:val="22"/>
          <w:lang w:val="en-GB"/>
        </w:rPr>
        <w:t xml:space="preserve"> is vital to meet our energy demands, as well as reducing reliance on imports and their associated carbon footprint. Ensuring that decommissioning is carried out in a timely, cost effective manner not only helps value extraction from the UKCS, but also demonstrates industry’s commitment to responsibly manage the UK’s hydrocarbon legacy.</w:t>
      </w:r>
    </w:p>
    <w:p w14:paraId="3111C3BA" w14:textId="118E7CEE" w:rsidR="00836506" w:rsidRPr="008947FB" w:rsidRDefault="00836506" w:rsidP="00180936">
      <w:pPr>
        <w:jc w:val="both"/>
        <w:rPr>
          <w:rFonts w:ascii="Arial" w:hAnsi="Arial" w:cs="Arial"/>
          <w:sz w:val="22"/>
          <w:highlight w:val="yellow"/>
          <w:lang w:val="en-GB"/>
        </w:rPr>
      </w:pPr>
    </w:p>
    <w:p w14:paraId="4752C9E9" w14:textId="63A7FA0B" w:rsidR="00FD414E" w:rsidRPr="00E65A4E" w:rsidRDefault="00FD414E" w:rsidP="00180936">
      <w:pPr>
        <w:jc w:val="both"/>
        <w:rPr>
          <w:rFonts w:ascii="Arial" w:hAnsi="Arial" w:cs="Arial"/>
          <w:sz w:val="22"/>
          <w:lang w:val="en-GB"/>
        </w:rPr>
      </w:pPr>
      <w:r w:rsidRPr="00E65A4E">
        <w:rPr>
          <w:rFonts w:ascii="Arial" w:hAnsi="Arial" w:cs="Arial"/>
          <w:sz w:val="22"/>
          <w:lang w:val="en-GB"/>
        </w:rPr>
        <w:t>This report provides comparison data which benchmarks a wide range of UKCS decommissioning activities</w:t>
      </w:r>
      <w:r w:rsidR="004412DB">
        <w:rPr>
          <w:rStyle w:val="FootnoteReference"/>
          <w:rFonts w:ascii="Arial" w:hAnsi="Arial" w:cs="Arial"/>
          <w:sz w:val="22"/>
          <w:lang w:val="en-GB"/>
        </w:rPr>
        <w:footnoteReference w:id="2"/>
      </w:r>
      <w:r w:rsidRPr="00E65A4E">
        <w:rPr>
          <w:rFonts w:ascii="Arial" w:hAnsi="Arial" w:cs="Arial"/>
          <w:sz w:val="22"/>
          <w:lang w:val="en-GB"/>
        </w:rPr>
        <w:t xml:space="preserve">. It follows the publication of the </w:t>
      </w:r>
      <w:r w:rsidRPr="00E65A4E">
        <w:rPr>
          <w:rFonts w:ascii="Arial" w:hAnsi="Arial" w:cs="Arial"/>
          <w:color w:val="0070C0"/>
          <w:sz w:val="22"/>
          <w:lang w:val="en-GB"/>
        </w:rPr>
        <w:t>UKCS Decommissioning Cost Estimate 202</w:t>
      </w:r>
      <w:r w:rsidR="00612C26">
        <w:rPr>
          <w:rFonts w:ascii="Arial" w:hAnsi="Arial" w:cs="Arial"/>
          <w:color w:val="0070C0"/>
          <w:sz w:val="22"/>
          <w:lang w:val="en-GB"/>
        </w:rPr>
        <w:t>1</w:t>
      </w:r>
      <w:r w:rsidR="009911A9">
        <w:rPr>
          <w:rStyle w:val="FootnoteReference"/>
          <w:rFonts w:ascii="Arial" w:hAnsi="Arial" w:cs="Arial"/>
          <w:color w:val="0070C0"/>
          <w:sz w:val="22"/>
          <w:lang w:val="en-GB"/>
        </w:rPr>
        <w:footnoteReference w:id="3"/>
      </w:r>
      <w:r w:rsidRPr="00E65A4E">
        <w:rPr>
          <w:rFonts w:ascii="Arial" w:hAnsi="Arial" w:cs="Arial"/>
          <w:color w:val="0070C0"/>
          <w:sz w:val="22"/>
          <w:lang w:val="en-GB"/>
        </w:rPr>
        <w:t xml:space="preserve"> </w:t>
      </w:r>
      <w:r w:rsidRPr="00E65A4E">
        <w:rPr>
          <w:rFonts w:ascii="Arial" w:hAnsi="Arial" w:cs="Arial"/>
          <w:sz w:val="22"/>
          <w:lang w:val="en-GB"/>
        </w:rPr>
        <w:t>in August. The reported benchmark information is derived from the perspective of the customer (</w:t>
      </w:r>
      <w:proofErr w:type="gramStart"/>
      <w:r w:rsidRPr="00E65A4E">
        <w:rPr>
          <w:rFonts w:ascii="Arial" w:hAnsi="Arial" w:cs="Arial"/>
          <w:sz w:val="22"/>
          <w:lang w:val="en-GB"/>
        </w:rPr>
        <w:t>i.e.</w:t>
      </w:r>
      <w:proofErr w:type="gramEnd"/>
      <w:r w:rsidRPr="00E65A4E">
        <w:rPr>
          <w:rFonts w:ascii="Arial" w:hAnsi="Arial" w:cs="Arial"/>
          <w:sz w:val="22"/>
          <w:lang w:val="en-GB"/>
        </w:rPr>
        <w:t xml:space="preserve"> does not necessarily reflect the costs incurred by the service provider) and, with a very small number of defined exceptions (see appendix</w:t>
      </w:r>
      <w:r w:rsidR="00E65A4E" w:rsidRPr="00E65A4E">
        <w:rPr>
          <w:rFonts w:ascii="Arial" w:hAnsi="Arial" w:cs="Arial"/>
          <w:sz w:val="22"/>
          <w:lang w:val="en-GB"/>
        </w:rPr>
        <w:t xml:space="preserve"> 2</w:t>
      </w:r>
      <w:r w:rsidRPr="00E65A4E">
        <w:rPr>
          <w:rFonts w:ascii="Arial" w:hAnsi="Arial" w:cs="Arial"/>
          <w:sz w:val="22"/>
          <w:lang w:val="en-GB"/>
        </w:rPr>
        <w:t xml:space="preserve">), is based on ‘actual’, </w:t>
      </w:r>
      <w:r w:rsidR="00540A2D">
        <w:rPr>
          <w:rFonts w:ascii="Arial" w:hAnsi="Arial" w:cs="Arial"/>
          <w:sz w:val="22"/>
          <w:lang w:val="en-GB"/>
        </w:rPr>
        <w:t xml:space="preserve">incurred </w:t>
      </w:r>
      <w:r w:rsidRPr="00E65A4E">
        <w:rPr>
          <w:rFonts w:ascii="Arial" w:hAnsi="Arial" w:cs="Arial"/>
          <w:sz w:val="22"/>
          <w:lang w:val="en-GB"/>
        </w:rPr>
        <w:t>expenditure.</w:t>
      </w:r>
    </w:p>
    <w:p w14:paraId="488538E5" w14:textId="77777777" w:rsidR="0034094E" w:rsidRPr="008947FB" w:rsidRDefault="0034094E" w:rsidP="00180936">
      <w:pPr>
        <w:jc w:val="both"/>
        <w:rPr>
          <w:rFonts w:ascii="Arial" w:hAnsi="Arial" w:cs="Arial"/>
          <w:sz w:val="22"/>
          <w:highlight w:val="yellow"/>
          <w:lang w:val="en-GB"/>
        </w:rPr>
      </w:pPr>
    </w:p>
    <w:p w14:paraId="2E3F4A1B" w14:textId="648D13C9" w:rsidR="00516C87" w:rsidRDefault="00C429A1" w:rsidP="00516C87">
      <w:pPr>
        <w:rPr>
          <w:rFonts w:ascii="Arial" w:hAnsi="Arial" w:cs="Arial"/>
          <w:sz w:val="22"/>
          <w:lang w:val="en-GB"/>
        </w:rPr>
      </w:pPr>
      <w:r w:rsidRPr="00A95A7C">
        <w:rPr>
          <w:rFonts w:ascii="Arial" w:hAnsi="Arial" w:cs="Arial"/>
          <w:sz w:val="22"/>
          <w:lang w:val="en-GB"/>
        </w:rPr>
        <w:t>The intent is that the benchmarking graphs will communicate the key insights without the need for detailed text</w:t>
      </w:r>
      <w:r w:rsidR="006928A8" w:rsidRPr="00A95A7C">
        <w:rPr>
          <w:rFonts w:ascii="Arial" w:hAnsi="Arial" w:cs="Arial"/>
          <w:sz w:val="22"/>
          <w:lang w:val="en-GB"/>
        </w:rPr>
        <w:t>, s</w:t>
      </w:r>
      <w:r w:rsidRPr="00A95A7C">
        <w:rPr>
          <w:rFonts w:ascii="Arial" w:hAnsi="Arial" w:cs="Arial"/>
          <w:sz w:val="22"/>
          <w:lang w:val="en-GB"/>
        </w:rPr>
        <w:t xml:space="preserve">upporting text will therefore only be present by exception, should there be an important element of the graphs that </w:t>
      </w:r>
      <w:r w:rsidR="000C7567" w:rsidRPr="00A95A7C">
        <w:rPr>
          <w:rFonts w:ascii="Arial" w:hAnsi="Arial" w:cs="Arial"/>
          <w:sz w:val="22"/>
          <w:lang w:val="en-GB"/>
        </w:rPr>
        <w:t>warrants further</w:t>
      </w:r>
      <w:r w:rsidRPr="00A95A7C">
        <w:rPr>
          <w:rFonts w:ascii="Arial" w:hAnsi="Arial" w:cs="Arial"/>
          <w:sz w:val="22"/>
          <w:lang w:val="en-GB"/>
        </w:rPr>
        <w:t xml:space="preserve"> explanation.</w:t>
      </w:r>
      <w:bookmarkStart w:id="15" w:name="_Toc12820544"/>
      <w:bookmarkStart w:id="16" w:name="_Toc12820627"/>
      <w:bookmarkStart w:id="17" w:name="_Toc12820697"/>
      <w:bookmarkStart w:id="18" w:name="_Toc12821264"/>
      <w:bookmarkStart w:id="19" w:name="_Toc12820702"/>
      <w:bookmarkStart w:id="20" w:name="_Toc12821269"/>
      <w:bookmarkStart w:id="21" w:name="_Toc12285344"/>
      <w:bookmarkStart w:id="22" w:name="_Toc12285410"/>
      <w:bookmarkStart w:id="23" w:name="_Toc12285468"/>
      <w:bookmarkStart w:id="24" w:name="_Toc12285518"/>
      <w:bookmarkStart w:id="25" w:name="_Toc12285696"/>
      <w:bookmarkStart w:id="26" w:name="_Toc12285829"/>
      <w:bookmarkStart w:id="27" w:name="_Toc12285345"/>
      <w:bookmarkStart w:id="28" w:name="_Toc12285411"/>
      <w:bookmarkStart w:id="29" w:name="_Toc12285469"/>
      <w:bookmarkStart w:id="30" w:name="_Toc12285519"/>
      <w:bookmarkStart w:id="31" w:name="_Toc12285697"/>
      <w:bookmarkStart w:id="32" w:name="_Toc12285830"/>
      <w:bookmarkStart w:id="33" w:name="_Toc12285346"/>
      <w:bookmarkStart w:id="34" w:name="_Toc12285412"/>
      <w:bookmarkStart w:id="35" w:name="_Toc12285470"/>
      <w:bookmarkStart w:id="36" w:name="_Toc12285520"/>
      <w:bookmarkStart w:id="37" w:name="_Toc12285698"/>
      <w:bookmarkStart w:id="38" w:name="_Toc12285831"/>
      <w:bookmarkStart w:id="39" w:name="_Toc12285347"/>
      <w:bookmarkStart w:id="40" w:name="_Toc12285413"/>
      <w:bookmarkStart w:id="41" w:name="_Toc12285471"/>
      <w:bookmarkStart w:id="42" w:name="_Toc12285521"/>
      <w:bookmarkStart w:id="43" w:name="_Toc12285699"/>
      <w:bookmarkStart w:id="44" w:name="_Toc12285832"/>
      <w:bookmarkStart w:id="45" w:name="_Toc12285348"/>
      <w:bookmarkStart w:id="46" w:name="_Toc12285414"/>
      <w:bookmarkStart w:id="47" w:name="_Toc12285472"/>
      <w:bookmarkStart w:id="48" w:name="_Toc12285522"/>
      <w:bookmarkStart w:id="49" w:name="_Toc12285700"/>
      <w:bookmarkStart w:id="50" w:name="_Toc12285833"/>
      <w:bookmarkStart w:id="51" w:name="_Toc12285349"/>
      <w:bookmarkStart w:id="52" w:name="_Toc12285415"/>
      <w:bookmarkStart w:id="53" w:name="_Toc12285473"/>
      <w:bookmarkStart w:id="54" w:name="_Toc12285523"/>
      <w:bookmarkStart w:id="55" w:name="_Toc12285701"/>
      <w:bookmarkStart w:id="56" w:name="_Toc12285834"/>
      <w:bookmarkStart w:id="57" w:name="_Toc12285350"/>
      <w:bookmarkStart w:id="58" w:name="_Toc12285416"/>
      <w:bookmarkStart w:id="59" w:name="_Toc12285474"/>
      <w:bookmarkStart w:id="60" w:name="_Toc12285524"/>
      <w:bookmarkStart w:id="61" w:name="_Toc12285702"/>
      <w:bookmarkStart w:id="62" w:name="_Toc12285835"/>
      <w:bookmarkStart w:id="63" w:name="_Toc12285351"/>
      <w:bookmarkStart w:id="64" w:name="_Toc12285417"/>
      <w:bookmarkStart w:id="65" w:name="_Toc12285475"/>
      <w:bookmarkStart w:id="66" w:name="_Toc12285525"/>
      <w:bookmarkStart w:id="67" w:name="_Toc12285703"/>
      <w:bookmarkStart w:id="68" w:name="_Toc12285836"/>
      <w:bookmarkStart w:id="69" w:name="_Toc12285352"/>
      <w:bookmarkStart w:id="70" w:name="_Toc12285418"/>
      <w:bookmarkStart w:id="71" w:name="_Toc12285476"/>
      <w:bookmarkStart w:id="72" w:name="_Toc12285526"/>
      <w:bookmarkStart w:id="73" w:name="_Toc12285704"/>
      <w:bookmarkStart w:id="74" w:name="_Toc12285837"/>
      <w:bookmarkStart w:id="75" w:name="_Toc12285353"/>
      <w:bookmarkStart w:id="76" w:name="_Toc12285419"/>
      <w:bookmarkStart w:id="77" w:name="_Toc12285477"/>
      <w:bookmarkStart w:id="78" w:name="_Toc12285527"/>
      <w:bookmarkStart w:id="79" w:name="_Toc12285705"/>
      <w:bookmarkStart w:id="80" w:name="_Toc12285838"/>
      <w:bookmarkStart w:id="81" w:name="_Toc12285354"/>
      <w:bookmarkStart w:id="82" w:name="_Toc12285420"/>
      <w:bookmarkStart w:id="83" w:name="_Toc12285478"/>
      <w:bookmarkStart w:id="84" w:name="_Toc12285528"/>
      <w:bookmarkStart w:id="85" w:name="_Toc12285706"/>
      <w:bookmarkStart w:id="86" w:name="_Toc12285839"/>
      <w:bookmarkStart w:id="87" w:name="_Toc12285355"/>
      <w:bookmarkStart w:id="88" w:name="_Toc12285421"/>
      <w:bookmarkStart w:id="89" w:name="_Toc12285479"/>
      <w:bookmarkStart w:id="90" w:name="_Toc12285529"/>
      <w:bookmarkStart w:id="91" w:name="_Toc12285707"/>
      <w:bookmarkStart w:id="92" w:name="_Toc12285840"/>
      <w:bookmarkStart w:id="93" w:name="_Toc12285356"/>
      <w:bookmarkStart w:id="94" w:name="_Toc12285422"/>
      <w:bookmarkStart w:id="95" w:name="_Toc12285480"/>
      <w:bookmarkStart w:id="96" w:name="_Toc12285530"/>
      <w:bookmarkStart w:id="97" w:name="_Toc12285708"/>
      <w:bookmarkStart w:id="98" w:name="_Toc12285841"/>
      <w:bookmarkStart w:id="99" w:name="_Toc12285357"/>
      <w:bookmarkStart w:id="100" w:name="_Toc12285423"/>
      <w:bookmarkStart w:id="101" w:name="_Toc12285481"/>
      <w:bookmarkStart w:id="102" w:name="_Toc12285531"/>
      <w:bookmarkStart w:id="103" w:name="_Toc12285709"/>
      <w:bookmarkStart w:id="104" w:name="_Toc12285842"/>
      <w:bookmarkStart w:id="105" w:name="_Toc12820550"/>
      <w:bookmarkStart w:id="106" w:name="_Toc12820633"/>
      <w:bookmarkStart w:id="107" w:name="_Toc12820704"/>
      <w:bookmarkStart w:id="108" w:name="_Toc12821271"/>
      <w:bookmarkStart w:id="109" w:name="_Toc515968703"/>
      <w:bookmarkStart w:id="110" w:name="_Hlk8424617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23D752F" w14:textId="77777777" w:rsidR="00852A75" w:rsidRDefault="00852A75" w:rsidP="00516C87">
      <w:pPr>
        <w:rPr>
          <w:rFonts w:ascii="Arial" w:hAnsi="Arial" w:cs="Arial"/>
          <w:sz w:val="22"/>
          <w:lang w:val="en-GB"/>
        </w:rPr>
      </w:pPr>
    </w:p>
    <w:bookmarkEnd w:id="110"/>
    <w:p w14:paraId="601FDDE3" w14:textId="73350AA0" w:rsidR="00881B4D" w:rsidRDefault="00881B4D" w:rsidP="00881B4D">
      <w:pPr>
        <w:rPr>
          <w:rFonts w:ascii="Arial" w:hAnsi="Arial" w:cs="Arial"/>
          <w:sz w:val="22"/>
          <w:lang w:val="en-GB"/>
        </w:rPr>
      </w:pPr>
      <w:r>
        <w:rPr>
          <w:rFonts w:ascii="Arial" w:hAnsi="Arial" w:cs="Arial"/>
          <w:sz w:val="22"/>
          <w:lang w:val="en-GB"/>
        </w:rPr>
        <w:t>Decommissioning activit</w:t>
      </w:r>
      <w:r w:rsidR="0095246E">
        <w:rPr>
          <w:rFonts w:ascii="Arial" w:hAnsi="Arial" w:cs="Arial"/>
          <w:sz w:val="22"/>
          <w:lang w:val="en-GB"/>
        </w:rPr>
        <w:t>y</w:t>
      </w:r>
      <w:r w:rsidRPr="00881B4D">
        <w:rPr>
          <w:rFonts w:ascii="Arial" w:hAnsi="Arial" w:cs="Arial"/>
          <w:sz w:val="22"/>
          <w:lang w:val="en-GB"/>
        </w:rPr>
        <w:t xml:space="preserve"> in 2020 was </w:t>
      </w:r>
      <w:r w:rsidR="00F72BE6">
        <w:rPr>
          <w:rFonts w:ascii="Arial" w:hAnsi="Arial" w:cs="Arial"/>
          <w:sz w:val="22"/>
          <w:lang w:val="en-GB"/>
        </w:rPr>
        <w:t xml:space="preserve">without doubt in </w:t>
      </w:r>
      <w:r w:rsidR="00CF252B">
        <w:rPr>
          <w:rFonts w:ascii="Arial" w:hAnsi="Arial" w:cs="Arial"/>
          <w:sz w:val="22"/>
          <w:lang w:val="en-GB"/>
        </w:rPr>
        <w:t xml:space="preserve">part </w:t>
      </w:r>
      <w:r w:rsidRPr="00881B4D">
        <w:rPr>
          <w:rFonts w:ascii="Arial" w:hAnsi="Arial" w:cs="Arial"/>
          <w:sz w:val="22"/>
          <w:lang w:val="en-GB"/>
        </w:rPr>
        <w:t xml:space="preserve">impacted by </w:t>
      </w:r>
      <w:r w:rsidR="008827AA">
        <w:rPr>
          <w:rFonts w:ascii="Arial" w:hAnsi="Arial" w:cs="Arial"/>
          <w:sz w:val="22"/>
          <w:lang w:val="en-GB"/>
        </w:rPr>
        <w:t xml:space="preserve">the </w:t>
      </w:r>
      <w:r w:rsidRPr="00881B4D">
        <w:rPr>
          <w:rFonts w:ascii="Arial" w:hAnsi="Arial" w:cs="Arial"/>
          <w:sz w:val="22"/>
          <w:lang w:val="en-GB"/>
        </w:rPr>
        <w:t xml:space="preserve">Covid-19 </w:t>
      </w:r>
      <w:r w:rsidR="008827AA">
        <w:rPr>
          <w:rFonts w:ascii="Arial" w:hAnsi="Arial" w:cs="Arial"/>
          <w:sz w:val="22"/>
          <w:lang w:val="en-GB"/>
        </w:rPr>
        <w:t>pandemic</w:t>
      </w:r>
      <w:r w:rsidRPr="00881B4D">
        <w:rPr>
          <w:rFonts w:ascii="Arial" w:hAnsi="Arial" w:cs="Arial"/>
          <w:sz w:val="22"/>
          <w:lang w:val="en-GB"/>
        </w:rPr>
        <w:t xml:space="preserve"> and the low commodity price, contributing to a </w:t>
      </w:r>
      <w:r w:rsidR="002D52F5">
        <w:rPr>
          <w:rFonts w:ascii="Arial" w:hAnsi="Arial" w:cs="Arial"/>
          <w:sz w:val="22"/>
          <w:lang w:val="en-GB"/>
        </w:rPr>
        <w:t xml:space="preserve">reduction in </w:t>
      </w:r>
      <w:r w:rsidR="00EB7C77">
        <w:rPr>
          <w:rFonts w:ascii="Arial" w:hAnsi="Arial" w:cs="Arial"/>
          <w:sz w:val="22"/>
          <w:lang w:val="en-GB"/>
        </w:rPr>
        <w:t>scope liquidation and</w:t>
      </w:r>
      <w:r w:rsidR="00F20668">
        <w:rPr>
          <w:rFonts w:ascii="Arial" w:hAnsi="Arial" w:cs="Arial"/>
          <w:sz w:val="22"/>
          <w:lang w:val="en-GB"/>
        </w:rPr>
        <w:t xml:space="preserve"> </w:t>
      </w:r>
      <w:r w:rsidR="004B6345">
        <w:rPr>
          <w:rFonts w:ascii="Arial" w:hAnsi="Arial" w:cs="Arial"/>
          <w:sz w:val="22"/>
          <w:lang w:val="en-GB"/>
        </w:rPr>
        <w:t>th</w:t>
      </w:r>
      <w:r w:rsidR="00F42B36">
        <w:rPr>
          <w:rFonts w:ascii="Arial" w:hAnsi="Arial" w:cs="Arial"/>
          <w:sz w:val="22"/>
          <w:lang w:val="en-GB"/>
        </w:rPr>
        <w:t xml:space="preserve">us </w:t>
      </w:r>
      <w:r w:rsidR="004B6345">
        <w:rPr>
          <w:rFonts w:ascii="Arial" w:hAnsi="Arial" w:cs="Arial"/>
          <w:sz w:val="22"/>
          <w:lang w:val="en-GB"/>
        </w:rPr>
        <w:t xml:space="preserve">the </w:t>
      </w:r>
      <w:r w:rsidR="00B12FF7">
        <w:rPr>
          <w:rFonts w:ascii="Arial" w:hAnsi="Arial" w:cs="Arial"/>
          <w:sz w:val="22"/>
          <w:lang w:val="en-GB"/>
        </w:rPr>
        <w:t>benchmark</w:t>
      </w:r>
      <w:r w:rsidR="00F53340">
        <w:rPr>
          <w:rFonts w:ascii="Arial" w:hAnsi="Arial" w:cs="Arial"/>
          <w:sz w:val="22"/>
          <w:lang w:val="en-GB"/>
        </w:rPr>
        <w:t xml:space="preserve"> </w:t>
      </w:r>
      <w:r w:rsidR="00B12FF7">
        <w:rPr>
          <w:rFonts w:ascii="Arial" w:hAnsi="Arial" w:cs="Arial"/>
          <w:sz w:val="22"/>
          <w:lang w:val="en-GB"/>
        </w:rPr>
        <w:t>s</w:t>
      </w:r>
      <w:r w:rsidR="00F53340">
        <w:rPr>
          <w:rFonts w:ascii="Arial" w:hAnsi="Arial" w:cs="Arial"/>
          <w:sz w:val="22"/>
          <w:lang w:val="en-GB"/>
        </w:rPr>
        <w:t>ample size</w:t>
      </w:r>
      <w:r w:rsidR="00F32ED1">
        <w:rPr>
          <w:rFonts w:ascii="Arial" w:hAnsi="Arial" w:cs="Arial"/>
          <w:sz w:val="22"/>
          <w:lang w:val="en-GB"/>
        </w:rPr>
        <w:t xml:space="preserve"> has</w:t>
      </w:r>
      <w:r w:rsidR="007F41FE">
        <w:rPr>
          <w:rFonts w:ascii="Arial" w:hAnsi="Arial" w:cs="Arial"/>
          <w:sz w:val="22"/>
          <w:lang w:val="en-GB"/>
        </w:rPr>
        <w:t>,</w:t>
      </w:r>
      <w:r w:rsidR="00E857D6">
        <w:rPr>
          <w:rFonts w:ascii="Arial" w:hAnsi="Arial" w:cs="Arial"/>
          <w:sz w:val="22"/>
          <w:lang w:val="en-GB"/>
        </w:rPr>
        <w:t xml:space="preserve"> in</w:t>
      </w:r>
      <w:r w:rsidR="00B92878">
        <w:rPr>
          <w:rFonts w:ascii="Arial" w:hAnsi="Arial" w:cs="Arial"/>
          <w:sz w:val="22"/>
          <w:lang w:val="en-GB"/>
        </w:rPr>
        <w:t xml:space="preserve"> </w:t>
      </w:r>
      <w:r w:rsidR="009D4C9C">
        <w:rPr>
          <w:rFonts w:ascii="Arial" w:hAnsi="Arial" w:cs="Arial"/>
          <w:sz w:val="22"/>
          <w:lang w:val="en-GB"/>
        </w:rPr>
        <w:t>some</w:t>
      </w:r>
      <w:r w:rsidR="00B92878">
        <w:rPr>
          <w:rFonts w:ascii="Arial" w:hAnsi="Arial" w:cs="Arial"/>
          <w:sz w:val="22"/>
          <w:lang w:val="en-GB"/>
        </w:rPr>
        <w:t xml:space="preserve"> instances</w:t>
      </w:r>
      <w:r w:rsidR="007F41FE">
        <w:rPr>
          <w:rFonts w:ascii="Arial" w:hAnsi="Arial" w:cs="Arial"/>
          <w:sz w:val="22"/>
          <w:lang w:val="en-GB"/>
        </w:rPr>
        <w:t>,</w:t>
      </w:r>
      <w:r w:rsidR="00B92878">
        <w:rPr>
          <w:rFonts w:ascii="Arial" w:hAnsi="Arial" w:cs="Arial"/>
          <w:sz w:val="22"/>
          <w:lang w:val="en-GB"/>
        </w:rPr>
        <w:t xml:space="preserve"> only </w:t>
      </w:r>
      <w:r w:rsidR="00F53340">
        <w:rPr>
          <w:rFonts w:ascii="Arial" w:hAnsi="Arial" w:cs="Arial"/>
          <w:sz w:val="22"/>
          <w:lang w:val="en-GB"/>
        </w:rPr>
        <w:t xml:space="preserve">seen </w:t>
      </w:r>
      <w:r w:rsidR="00B92878">
        <w:rPr>
          <w:rFonts w:ascii="Arial" w:hAnsi="Arial" w:cs="Arial"/>
          <w:sz w:val="22"/>
          <w:lang w:val="en-GB"/>
        </w:rPr>
        <w:t>marginal change</w:t>
      </w:r>
      <w:r w:rsidRPr="00881B4D">
        <w:rPr>
          <w:rFonts w:ascii="Arial" w:hAnsi="Arial" w:cs="Arial"/>
          <w:sz w:val="22"/>
          <w:lang w:val="en-GB"/>
        </w:rPr>
        <w:t xml:space="preserve">. </w:t>
      </w:r>
      <w:r w:rsidR="00F53340">
        <w:rPr>
          <w:rFonts w:ascii="Arial" w:hAnsi="Arial" w:cs="Arial"/>
          <w:sz w:val="22"/>
          <w:lang w:val="en-GB"/>
        </w:rPr>
        <w:t xml:space="preserve">The </w:t>
      </w:r>
      <w:r w:rsidR="00224958">
        <w:rPr>
          <w:rFonts w:ascii="Arial" w:hAnsi="Arial" w:cs="Arial"/>
          <w:sz w:val="22"/>
          <w:lang w:val="en-GB"/>
        </w:rPr>
        <w:t xml:space="preserve">benchmarks for 2020 should </w:t>
      </w:r>
      <w:r w:rsidR="009D4C9C">
        <w:rPr>
          <w:rFonts w:ascii="Arial" w:hAnsi="Arial" w:cs="Arial"/>
          <w:sz w:val="22"/>
          <w:lang w:val="en-GB"/>
        </w:rPr>
        <w:t>hence be</w:t>
      </w:r>
      <w:r w:rsidR="00224958">
        <w:rPr>
          <w:rFonts w:ascii="Arial" w:hAnsi="Arial" w:cs="Arial"/>
          <w:sz w:val="22"/>
          <w:lang w:val="en-GB"/>
        </w:rPr>
        <w:t xml:space="preserve"> considered in th</w:t>
      </w:r>
      <w:r w:rsidR="009D4C9C">
        <w:rPr>
          <w:rFonts w:ascii="Arial" w:hAnsi="Arial" w:cs="Arial"/>
          <w:sz w:val="22"/>
          <w:lang w:val="en-GB"/>
        </w:rPr>
        <w:t>is</w:t>
      </w:r>
      <w:r w:rsidR="00224958">
        <w:rPr>
          <w:rFonts w:ascii="Arial" w:hAnsi="Arial" w:cs="Arial"/>
          <w:sz w:val="22"/>
          <w:lang w:val="en-GB"/>
        </w:rPr>
        <w:t xml:space="preserve"> context</w:t>
      </w:r>
      <w:r w:rsidR="009D4C9C">
        <w:rPr>
          <w:rFonts w:ascii="Arial" w:hAnsi="Arial" w:cs="Arial"/>
          <w:sz w:val="22"/>
          <w:lang w:val="en-GB"/>
        </w:rPr>
        <w:t>.</w:t>
      </w:r>
    </w:p>
    <w:p w14:paraId="0127B54C" w14:textId="77777777" w:rsidR="00084C0E" w:rsidRDefault="00084C0E" w:rsidP="00881B4D">
      <w:pPr>
        <w:rPr>
          <w:rFonts w:ascii="Arial" w:hAnsi="Arial" w:cs="Arial"/>
          <w:sz w:val="22"/>
          <w:lang w:val="en-GB"/>
        </w:rPr>
      </w:pPr>
    </w:p>
    <w:p w14:paraId="72BC5285" w14:textId="339A831D" w:rsidR="00A52F21" w:rsidRDefault="00C63F39" w:rsidP="00881B4D">
      <w:pPr>
        <w:rPr>
          <w:rFonts w:ascii="Arial" w:hAnsi="Arial" w:cs="Arial"/>
          <w:sz w:val="22"/>
          <w:lang w:val="en-GB"/>
        </w:rPr>
      </w:pPr>
      <w:r w:rsidRPr="00AD1482">
        <w:rPr>
          <w:rFonts w:ascii="Arial" w:hAnsi="Arial" w:cs="Arial"/>
          <w:sz w:val="22"/>
          <w:lang w:val="en-GB"/>
        </w:rPr>
        <w:t xml:space="preserve">With increasing </w:t>
      </w:r>
      <w:r w:rsidR="004E7CF0" w:rsidRPr="00AD1482">
        <w:rPr>
          <w:rFonts w:ascii="Arial" w:hAnsi="Arial" w:cs="Arial"/>
          <w:sz w:val="22"/>
          <w:lang w:val="en-GB"/>
        </w:rPr>
        <w:t xml:space="preserve">emphasis </w:t>
      </w:r>
      <w:r w:rsidR="00ED64FD" w:rsidRPr="00AD1482">
        <w:rPr>
          <w:rFonts w:ascii="Arial" w:hAnsi="Arial" w:cs="Arial"/>
          <w:sz w:val="22"/>
          <w:lang w:val="en-GB"/>
        </w:rPr>
        <w:t xml:space="preserve">placed </w:t>
      </w:r>
      <w:r w:rsidR="004E7CF0" w:rsidRPr="00AD1482">
        <w:rPr>
          <w:rFonts w:ascii="Arial" w:hAnsi="Arial" w:cs="Arial"/>
          <w:sz w:val="22"/>
          <w:lang w:val="en-GB"/>
        </w:rPr>
        <w:t>on energy transition</w:t>
      </w:r>
      <w:r w:rsidR="007775E9" w:rsidRPr="00AD1482">
        <w:rPr>
          <w:rFonts w:ascii="Arial" w:hAnsi="Arial" w:cs="Arial"/>
          <w:sz w:val="22"/>
          <w:lang w:val="en-GB"/>
        </w:rPr>
        <w:t>, reducing greenhouse gas emissions</w:t>
      </w:r>
      <w:r w:rsidR="004E7CF0" w:rsidRPr="00AD1482">
        <w:rPr>
          <w:rFonts w:ascii="Arial" w:hAnsi="Arial" w:cs="Arial"/>
          <w:sz w:val="22"/>
          <w:lang w:val="en-GB"/>
        </w:rPr>
        <w:t xml:space="preserve"> and</w:t>
      </w:r>
      <w:r w:rsidR="002A2FC6" w:rsidRPr="00AD1482">
        <w:rPr>
          <w:rFonts w:ascii="Arial" w:hAnsi="Arial" w:cs="Arial"/>
          <w:sz w:val="22"/>
          <w:lang w:val="en-GB"/>
        </w:rPr>
        <w:t xml:space="preserve"> Carbon Capture and Storage (CCS)</w:t>
      </w:r>
      <w:r w:rsidRPr="00AD1482">
        <w:rPr>
          <w:rFonts w:ascii="Arial" w:hAnsi="Arial" w:cs="Arial"/>
          <w:sz w:val="22"/>
          <w:lang w:val="en-GB"/>
        </w:rPr>
        <w:t xml:space="preserve">, </w:t>
      </w:r>
      <w:r w:rsidR="00A52F21" w:rsidRPr="00AD1482">
        <w:rPr>
          <w:rFonts w:ascii="Arial" w:hAnsi="Arial" w:cs="Arial"/>
          <w:sz w:val="22"/>
          <w:lang w:val="en-GB"/>
        </w:rPr>
        <w:t>the overall decommissioning cost impact of the energy</w:t>
      </w:r>
      <w:r w:rsidR="00A52F21" w:rsidRPr="00A52F21">
        <w:rPr>
          <w:rFonts w:ascii="Arial" w:hAnsi="Arial" w:cs="Arial"/>
          <w:sz w:val="22"/>
          <w:lang w:val="en-GB"/>
        </w:rPr>
        <w:t xml:space="preserve"> transition plus any potential </w:t>
      </w:r>
      <w:r w:rsidR="00A07E59">
        <w:rPr>
          <w:rFonts w:ascii="Arial" w:hAnsi="Arial" w:cs="Arial"/>
          <w:sz w:val="22"/>
          <w:lang w:val="en-GB"/>
        </w:rPr>
        <w:t xml:space="preserve">infrastructure </w:t>
      </w:r>
      <w:r w:rsidR="00AE6E08">
        <w:rPr>
          <w:rFonts w:ascii="Arial" w:hAnsi="Arial" w:cs="Arial"/>
          <w:sz w:val="22"/>
          <w:lang w:val="en-GB"/>
        </w:rPr>
        <w:t>re-use/</w:t>
      </w:r>
      <w:r w:rsidR="00A52F21" w:rsidRPr="00A52F21">
        <w:rPr>
          <w:rFonts w:ascii="Arial" w:hAnsi="Arial" w:cs="Arial"/>
          <w:sz w:val="22"/>
          <w:lang w:val="en-GB"/>
        </w:rPr>
        <w:t xml:space="preserve">repurposing is </w:t>
      </w:r>
      <w:r w:rsidR="00B51399">
        <w:rPr>
          <w:rFonts w:ascii="Arial" w:hAnsi="Arial" w:cs="Arial"/>
          <w:sz w:val="22"/>
          <w:lang w:val="en-GB"/>
        </w:rPr>
        <w:t>evolving</w:t>
      </w:r>
      <w:r w:rsidR="00A52F21" w:rsidRPr="00A52F21">
        <w:rPr>
          <w:rFonts w:ascii="Arial" w:hAnsi="Arial" w:cs="Arial"/>
          <w:sz w:val="22"/>
          <w:lang w:val="en-GB"/>
        </w:rPr>
        <w:t xml:space="preserve"> and </w:t>
      </w:r>
      <w:r w:rsidR="00965D36">
        <w:rPr>
          <w:rFonts w:ascii="Arial" w:hAnsi="Arial" w:cs="Arial"/>
          <w:sz w:val="22"/>
          <w:lang w:val="en-GB"/>
        </w:rPr>
        <w:t xml:space="preserve">is </w:t>
      </w:r>
      <w:r w:rsidR="00A52F21" w:rsidRPr="00A52F21">
        <w:rPr>
          <w:rFonts w:ascii="Arial" w:hAnsi="Arial" w:cs="Arial"/>
          <w:sz w:val="22"/>
          <w:lang w:val="en-GB"/>
        </w:rPr>
        <w:t xml:space="preserve">expected to remain so for </w:t>
      </w:r>
      <w:proofErr w:type="gramStart"/>
      <w:r w:rsidR="0005523F">
        <w:rPr>
          <w:rFonts w:ascii="Arial" w:hAnsi="Arial" w:cs="Arial"/>
          <w:sz w:val="22"/>
          <w:lang w:val="en-GB"/>
        </w:rPr>
        <w:t>a number of</w:t>
      </w:r>
      <w:proofErr w:type="gramEnd"/>
      <w:r w:rsidR="0005523F">
        <w:rPr>
          <w:rFonts w:ascii="Arial" w:hAnsi="Arial" w:cs="Arial"/>
          <w:sz w:val="22"/>
          <w:lang w:val="en-GB"/>
        </w:rPr>
        <w:t xml:space="preserve"> </w:t>
      </w:r>
      <w:r w:rsidR="00A52F21" w:rsidRPr="00A52F21">
        <w:rPr>
          <w:rFonts w:ascii="Arial" w:hAnsi="Arial" w:cs="Arial"/>
          <w:sz w:val="22"/>
          <w:lang w:val="en-GB"/>
        </w:rPr>
        <w:t>years. In some cases, to-date there have been cost increases, as additional work is done when infrastructure or wells are preserved or decommissioned to a different standard</w:t>
      </w:r>
      <w:r w:rsidR="004B5522">
        <w:rPr>
          <w:rFonts w:ascii="Arial" w:hAnsi="Arial" w:cs="Arial"/>
          <w:sz w:val="22"/>
          <w:lang w:val="en-GB"/>
        </w:rPr>
        <w:t xml:space="preserve"> to allow for </w:t>
      </w:r>
      <w:r w:rsidR="00F862A9">
        <w:rPr>
          <w:rFonts w:ascii="Arial" w:hAnsi="Arial" w:cs="Arial"/>
          <w:sz w:val="22"/>
          <w:lang w:val="en-GB"/>
        </w:rPr>
        <w:t xml:space="preserve">future </w:t>
      </w:r>
      <w:r w:rsidR="0060366E">
        <w:rPr>
          <w:rFonts w:ascii="Arial" w:hAnsi="Arial" w:cs="Arial"/>
          <w:sz w:val="22"/>
          <w:lang w:val="en-GB"/>
        </w:rPr>
        <w:t>re-use projects</w:t>
      </w:r>
      <w:r w:rsidR="00A52F21" w:rsidRPr="00A52F21">
        <w:rPr>
          <w:rFonts w:ascii="Arial" w:hAnsi="Arial" w:cs="Arial"/>
          <w:sz w:val="22"/>
          <w:lang w:val="en-GB"/>
        </w:rPr>
        <w:t>.</w:t>
      </w:r>
    </w:p>
    <w:p w14:paraId="62BCF9DE" w14:textId="6D762F44" w:rsidR="0005523F" w:rsidRDefault="0005523F" w:rsidP="00881B4D">
      <w:pPr>
        <w:rPr>
          <w:rFonts w:ascii="Arial" w:hAnsi="Arial" w:cs="Arial"/>
          <w:sz w:val="22"/>
          <w:lang w:val="en-GB"/>
        </w:rPr>
      </w:pPr>
    </w:p>
    <w:p w14:paraId="77F400D4" w14:textId="54E585A0" w:rsidR="0005523F" w:rsidRPr="0005523F" w:rsidRDefault="0005523F" w:rsidP="0005523F">
      <w:pPr>
        <w:rPr>
          <w:rFonts w:ascii="Arial" w:hAnsi="Arial" w:cs="Arial"/>
          <w:sz w:val="22"/>
          <w:lang w:val="en-GB"/>
        </w:rPr>
      </w:pPr>
      <w:r w:rsidRPr="0005523F">
        <w:rPr>
          <w:rFonts w:ascii="Arial" w:hAnsi="Arial" w:cs="Arial"/>
          <w:sz w:val="22"/>
          <w:lang w:val="en-GB"/>
        </w:rPr>
        <w:t>It is acknowledged that the range of benchmarks presented are not fully normalised to account for individual operator decommissioning circumstance and</w:t>
      </w:r>
      <w:r w:rsidR="005F77D4">
        <w:rPr>
          <w:rFonts w:ascii="Arial" w:hAnsi="Arial" w:cs="Arial"/>
          <w:sz w:val="22"/>
          <w:lang w:val="en-GB"/>
        </w:rPr>
        <w:t>/</w:t>
      </w:r>
      <w:r w:rsidRPr="0005523F">
        <w:rPr>
          <w:rFonts w:ascii="Arial" w:hAnsi="Arial" w:cs="Arial"/>
          <w:sz w:val="22"/>
          <w:lang w:val="en-GB"/>
        </w:rPr>
        <w:t xml:space="preserve">or potential variance in the respective input data and as such the benchmark should be considered as representative of costs on a simplified like-for-like basis only. </w:t>
      </w:r>
    </w:p>
    <w:p w14:paraId="6A003C1C" w14:textId="77777777" w:rsidR="0005523F" w:rsidRPr="00881B4D" w:rsidRDefault="0005523F" w:rsidP="00881B4D">
      <w:pPr>
        <w:rPr>
          <w:rFonts w:ascii="Arial" w:hAnsi="Arial" w:cs="Arial"/>
          <w:sz w:val="22"/>
          <w:lang w:val="en-GB"/>
        </w:rPr>
      </w:pPr>
    </w:p>
    <w:p w14:paraId="57B00758" w14:textId="2CF7E489" w:rsidR="00143173" w:rsidRDefault="00143173" w:rsidP="00143173">
      <w:pPr>
        <w:pStyle w:val="Heading1"/>
        <w:numPr>
          <w:ilvl w:val="0"/>
          <w:numId w:val="40"/>
        </w:numPr>
        <w:spacing w:after="120"/>
        <w:jc w:val="left"/>
        <w:rPr>
          <w:color w:val="0070C0"/>
          <w:lang w:val="en-GB"/>
        </w:rPr>
      </w:pPr>
      <w:bookmarkStart w:id="111" w:name="_Toc85627553"/>
      <w:r w:rsidRPr="009E0CFB">
        <w:rPr>
          <w:color w:val="0070C0"/>
          <w:lang w:val="en-GB"/>
        </w:rPr>
        <w:t>Benchmark</w:t>
      </w:r>
      <w:r w:rsidR="00966853">
        <w:rPr>
          <w:color w:val="0070C0"/>
          <w:lang w:val="en-GB"/>
        </w:rPr>
        <w:t xml:space="preserve"> </w:t>
      </w:r>
      <w:r w:rsidRPr="009E0CFB">
        <w:rPr>
          <w:color w:val="0070C0"/>
          <w:lang w:val="en-GB"/>
        </w:rPr>
        <w:t>s</w:t>
      </w:r>
      <w:r w:rsidR="00966853">
        <w:rPr>
          <w:color w:val="0070C0"/>
          <w:lang w:val="en-GB"/>
        </w:rPr>
        <w:t>ummary</w:t>
      </w:r>
      <w:bookmarkEnd w:id="111"/>
    </w:p>
    <w:p w14:paraId="332CB798" w14:textId="37A68617" w:rsidR="005130E8" w:rsidRDefault="009B00DC" w:rsidP="00446C45">
      <w:pPr>
        <w:jc w:val="both"/>
        <w:rPr>
          <w:rFonts w:ascii="Arial" w:hAnsi="Arial" w:cs="Arial"/>
          <w:sz w:val="22"/>
          <w:szCs w:val="24"/>
          <w:lang w:val="en-GB"/>
        </w:rPr>
      </w:pPr>
      <w:bookmarkStart w:id="112" w:name="_Toc12820635"/>
      <w:bookmarkStart w:id="113" w:name="_Toc49929725"/>
      <w:bookmarkStart w:id="114" w:name="_Toc50043568"/>
      <w:bookmarkStart w:id="115" w:name="_Toc51146397"/>
      <w:bookmarkStart w:id="116" w:name="_Toc51235125"/>
      <w:bookmarkEnd w:id="112"/>
      <w:r w:rsidRPr="008947FB">
        <w:rPr>
          <w:rFonts w:ascii="Arial" w:hAnsi="Arial" w:cs="Arial"/>
          <w:sz w:val="22"/>
          <w:szCs w:val="24"/>
          <w:lang w:val="en-GB"/>
        </w:rPr>
        <w:t xml:space="preserve">UKCS decommissioning </w:t>
      </w:r>
      <w:r w:rsidR="00462D36" w:rsidRPr="00446C45">
        <w:rPr>
          <w:rFonts w:ascii="Arial" w:hAnsi="Arial" w:cs="Arial"/>
          <w:sz w:val="22"/>
          <w:szCs w:val="24"/>
          <w:lang w:val="en-GB"/>
        </w:rPr>
        <w:t xml:space="preserve">cost performance </w:t>
      </w:r>
      <w:r w:rsidRPr="008947FB">
        <w:rPr>
          <w:rFonts w:ascii="Arial" w:hAnsi="Arial" w:cs="Arial"/>
          <w:sz w:val="22"/>
          <w:szCs w:val="24"/>
          <w:lang w:val="en-GB"/>
        </w:rPr>
        <w:t xml:space="preserve">benchmarks are </w:t>
      </w:r>
      <w:r w:rsidR="003A065A" w:rsidRPr="008947FB">
        <w:rPr>
          <w:rFonts w:ascii="Arial" w:hAnsi="Arial" w:cs="Arial"/>
          <w:sz w:val="22"/>
          <w:szCs w:val="24"/>
          <w:lang w:val="en-GB"/>
        </w:rPr>
        <w:t>pr</w:t>
      </w:r>
      <w:r w:rsidR="005C6FBA" w:rsidRPr="008947FB">
        <w:rPr>
          <w:rFonts w:ascii="Arial" w:hAnsi="Arial" w:cs="Arial"/>
          <w:sz w:val="22"/>
          <w:szCs w:val="24"/>
          <w:lang w:val="en-GB"/>
        </w:rPr>
        <w:t xml:space="preserve">esented </w:t>
      </w:r>
      <w:r w:rsidR="00AB2E4A" w:rsidRPr="008947FB">
        <w:rPr>
          <w:rFonts w:ascii="Arial" w:hAnsi="Arial" w:cs="Arial"/>
          <w:sz w:val="22"/>
          <w:szCs w:val="24"/>
          <w:lang w:val="en-GB"/>
        </w:rPr>
        <w:t xml:space="preserve">for each </w:t>
      </w:r>
      <w:r w:rsidR="001D73D2" w:rsidRPr="008947FB">
        <w:rPr>
          <w:rFonts w:ascii="Arial" w:hAnsi="Arial" w:cs="Arial"/>
          <w:sz w:val="22"/>
          <w:szCs w:val="24"/>
          <w:lang w:val="en-GB"/>
        </w:rPr>
        <w:t>WBS</w:t>
      </w:r>
      <w:r w:rsidR="00C01296" w:rsidRPr="008947FB">
        <w:rPr>
          <w:rFonts w:ascii="Arial" w:hAnsi="Arial"/>
          <w:szCs w:val="24"/>
        </w:rPr>
        <w:footnoteReference w:id="4"/>
      </w:r>
      <w:r w:rsidR="00AB2E4A" w:rsidRPr="008947FB">
        <w:rPr>
          <w:rFonts w:ascii="Arial" w:hAnsi="Arial" w:cs="Arial"/>
          <w:sz w:val="22"/>
          <w:szCs w:val="24"/>
          <w:lang w:val="en-GB"/>
        </w:rPr>
        <w:t xml:space="preserve"> </w:t>
      </w:r>
      <w:r w:rsidR="00225C50" w:rsidRPr="008947FB">
        <w:rPr>
          <w:rFonts w:ascii="Arial" w:hAnsi="Arial" w:cs="Arial"/>
          <w:sz w:val="22"/>
          <w:szCs w:val="24"/>
          <w:lang w:val="en-GB"/>
        </w:rPr>
        <w:t>component</w:t>
      </w:r>
      <w:r w:rsidR="00910529" w:rsidRPr="00446C45">
        <w:rPr>
          <w:rFonts w:ascii="Arial" w:hAnsi="Arial" w:cs="Arial"/>
          <w:sz w:val="22"/>
          <w:szCs w:val="24"/>
          <w:lang w:val="en-GB"/>
        </w:rPr>
        <w:t xml:space="preserve"> and summarised </w:t>
      </w:r>
      <w:r w:rsidR="00F930C0">
        <w:rPr>
          <w:rFonts w:ascii="Arial" w:hAnsi="Arial" w:cs="Arial"/>
          <w:sz w:val="22"/>
          <w:szCs w:val="24"/>
          <w:lang w:val="en-GB"/>
        </w:rPr>
        <w:t xml:space="preserve">(P50) </w:t>
      </w:r>
      <w:r w:rsidR="00910529" w:rsidRPr="00446C45">
        <w:rPr>
          <w:rFonts w:ascii="Arial" w:hAnsi="Arial" w:cs="Arial"/>
          <w:sz w:val="22"/>
          <w:szCs w:val="24"/>
          <w:lang w:val="en-GB"/>
        </w:rPr>
        <w:t>in Table 1</w:t>
      </w:r>
      <w:r w:rsidR="004766C2">
        <w:rPr>
          <w:rFonts w:ascii="Arial" w:hAnsi="Arial" w:cs="Arial"/>
          <w:sz w:val="22"/>
          <w:szCs w:val="24"/>
          <w:lang w:val="en-GB"/>
        </w:rPr>
        <w:t xml:space="preserve"> along with movement in metric relative to prior years data</w:t>
      </w:r>
      <w:r w:rsidR="00F3681B" w:rsidRPr="00446C45">
        <w:rPr>
          <w:rFonts w:ascii="Arial" w:hAnsi="Arial" w:cs="Arial"/>
          <w:sz w:val="22"/>
          <w:szCs w:val="24"/>
          <w:lang w:val="en-GB"/>
        </w:rPr>
        <w:t>.</w:t>
      </w:r>
    </w:p>
    <w:p w14:paraId="4D478E0E" w14:textId="77777777" w:rsidR="00446C45" w:rsidRPr="008947FB" w:rsidRDefault="00446C45" w:rsidP="00446C45">
      <w:pPr>
        <w:jc w:val="both"/>
        <w:rPr>
          <w:rFonts w:ascii="Arial" w:hAnsi="Arial" w:cs="Arial"/>
          <w:sz w:val="22"/>
          <w:szCs w:val="24"/>
          <w:lang w:val="en-GB"/>
        </w:rPr>
      </w:pPr>
    </w:p>
    <w:p w14:paraId="02E0F482" w14:textId="65FBD07D" w:rsidR="00C60D31" w:rsidRDefault="005B64CB" w:rsidP="00446C45">
      <w:pPr>
        <w:jc w:val="both"/>
        <w:rPr>
          <w:rFonts w:ascii="Arial" w:hAnsi="Arial" w:cs="Arial"/>
          <w:sz w:val="22"/>
          <w:szCs w:val="24"/>
          <w:lang w:val="en-GB"/>
        </w:rPr>
      </w:pPr>
      <w:r w:rsidRPr="008947FB">
        <w:rPr>
          <w:rFonts w:ascii="Arial" w:hAnsi="Arial" w:cs="Arial"/>
          <w:sz w:val="22"/>
          <w:szCs w:val="24"/>
          <w:lang w:val="en-GB"/>
        </w:rPr>
        <w:t xml:space="preserve">Benchmarks are </w:t>
      </w:r>
      <w:r w:rsidR="00462D36" w:rsidRPr="00446C45">
        <w:rPr>
          <w:rFonts w:ascii="Arial" w:hAnsi="Arial" w:cs="Arial"/>
          <w:sz w:val="22"/>
          <w:szCs w:val="24"/>
          <w:lang w:val="en-GB"/>
        </w:rPr>
        <w:t xml:space="preserve">based on actual cost </w:t>
      </w:r>
      <w:r w:rsidR="00A76E05" w:rsidRPr="00446C45">
        <w:rPr>
          <w:rFonts w:ascii="Arial" w:hAnsi="Arial" w:cs="Arial"/>
          <w:sz w:val="22"/>
          <w:szCs w:val="24"/>
          <w:lang w:val="en-GB"/>
        </w:rPr>
        <w:t>outturn</w:t>
      </w:r>
      <w:r w:rsidR="00462D36" w:rsidRPr="00446C45">
        <w:rPr>
          <w:rFonts w:ascii="Arial" w:hAnsi="Arial" w:cs="Arial"/>
          <w:sz w:val="22"/>
          <w:szCs w:val="24"/>
          <w:lang w:val="en-GB"/>
        </w:rPr>
        <w:t xml:space="preserve"> </w:t>
      </w:r>
      <w:proofErr w:type="gramStart"/>
      <w:r w:rsidR="00462D36" w:rsidRPr="00446C45">
        <w:rPr>
          <w:rFonts w:ascii="Arial" w:hAnsi="Arial" w:cs="Arial"/>
          <w:sz w:val="22"/>
          <w:szCs w:val="24"/>
          <w:lang w:val="en-GB"/>
        </w:rPr>
        <w:t>i.e.</w:t>
      </w:r>
      <w:proofErr w:type="gramEnd"/>
      <w:r w:rsidR="00C50996">
        <w:rPr>
          <w:rFonts w:ascii="Arial" w:hAnsi="Arial" w:cs="Arial"/>
          <w:sz w:val="22"/>
          <w:szCs w:val="24"/>
          <w:lang w:val="en-GB"/>
        </w:rPr>
        <w:t xml:space="preserve"> </w:t>
      </w:r>
      <w:r w:rsidR="00462D36" w:rsidRPr="00446C45">
        <w:rPr>
          <w:rFonts w:ascii="Arial" w:hAnsi="Arial" w:cs="Arial"/>
          <w:sz w:val="22"/>
          <w:szCs w:val="24"/>
          <w:lang w:val="en-GB"/>
        </w:rPr>
        <w:t>not including cost estimates/forecasts</w:t>
      </w:r>
      <w:r w:rsidR="0070166E" w:rsidRPr="00446C45">
        <w:rPr>
          <w:rFonts w:ascii="Arial" w:hAnsi="Arial" w:cs="Arial"/>
          <w:sz w:val="22"/>
          <w:szCs w:val="24"/>
          <w:lang w:val="en-GB"/>
        </w:rPr>
        <w:t xml:space="preserve"> (</w:t>
      </w:r>
      <w:r w:rsidR="001D3C67" w:rsidRPr="00446C45">
        <w:rPr>
          <w:rFonts w:ascii="Arial" w:hAnsi="Arial" w:cs="Arial"/>
          <w:sz w:val="22"/>
          <w:szCs w:val="24"/>
          <w:lang w:val="en-GB"/>
        </w:rPr>
        <w:t xml:space="preserve">where </w:t>
      </w:r>
      <w:r w:rsidR="00494720" w:rsidRPr="00446C45">
        <w:rPr>
          <w:rFonts w:ascii="Arial" w:hAnsi="Arial" w:cs="Arial"/>
          <w:sz w:val="22"/>
          <w:szCs w:val="24"/>
          <w:lang w:val="en-GB"/>
        </w:rPr>
        <w:t xml:space="preserve">exceptions </w:t>
      </w:r>
      <w:r w:rsidR="008B5C19" w:rsidRPr="00446C45">
        <w:rPr>
          <w:rFonts w:ascii="Arial" w:hAnsi="Arial" w:cs="Arial"/>
          <w:sz w:val="22"/>
          <w:szCs w:val="24"/>
          <w:lang w:val="en-GB"/>
        </w:rPr>
        <w:t xml:space="preserve">apply these </w:t>
      </w:r>
      <w:r w:rsidR="00AC65F5" w:rsidRPr="00446C45">
        <w:rPr>
          <w:rFonts w:ascii="Arial" w:hAnsi="Arial" w:cs="Arial"/>
          <w:sz w:val="22"/>
          <w:szCs w:val="24"/>
          <w:lang w:val="en-GB"/>
        </w:rPr>
        <w:t xml:space="preserve">are </w:t>
      </w:r>
      <w:r w:rsidR="00DD06A2" w:rsidRPr="00446C45">
        <w:rPr>
          <w:rFonts w:ascii="Arial" w:hAnsi="Arial" w:cs="Arial"/>
          <w:sz w:val="22"/>
          <w:szCs w:val="24"/>
          <w:lang w:val="en-GB"/>
        </w:rPr>
        <w:t>listed in</w:t>
      </w:r>
      <w:r w:rsidR="00323593" w:rsidRPr="00446C45">
        <w:rPr>
          <w:rFonts w:ascii="Arial" w:hAnsi="Arial" w:cs="Arial"/>
          <w:sz w:val="22"/>
          <w:szCs w:val="24"/>
          <w:lang w:val="en-GB"/>
        </w:rPr>
        <w:t xml:space="preserve"> appendix</w:t>
      </w:r>
      <w:r w:rsidRPr="008947FB">
        <w:rPr>
          <w:rFonts w:ascii="Arial" w:hAnsi="Arial" w:cs="Arial"/>
          <w:sz w:val="22"/>
          <w:szCs w:val="24"/>
          <w:lang w:val="en-GB"/>
        </w:rPr>
        <w:t xml:space="preserve"> 2</w:t>
      </w:r>
      <w:r w:rsidR="00462D36" w:rsidRPr="00446C45">
        <w:rPr>
          <w:rFonts w:ascii="Arial" w:hAnsi="Arial" w:cs="Arial"/>
          <w:sz w:val="22"/>
          <w:szCs w:val="24"/>
          <w:lang w:val="en-GB"/>
        </w:rPr>
        <w:t>)</w:t>
      </w:r>
      <w:r w:rsidR="00890345" w:rsidRPr="00446C45">
        <w:rPr>
          <w:rFonts w:ascii="Arial" w:hAnsi="Arial" w:cs="Arial"/>
          <w:sz w:val="22"/>
          <w:szCs w:val="24"/>
          <w:lang w:val="en-GB"/>
        </w:rPr>
        <w:t>.</w:t>
      </w:r>
      <w:r w:rsidR="00323593" w:rsidRPr="00446C45">
        <w:rPr>
          <w:rFonts w:ascii="Arial" w:hAnsi="Arial" w:cs="Arial"/>
          <w:sz w:val="22"/>
          <w:szCs w:val="24"/>
          <w:lang w:val="en-GB"/>
        </w:rPr>
        <w:t xml:space="preserve"> </w:t>
      </w:r>
      <w:r w:rsidRPr="00446C45">
        <w:rPr>
          <w:rFonts w:ascii="Arial" w:hAnsi="Arial" w:cs="Arial"/>
          <w:sz w:val="22"/>
          <w:szCs w:val="24"/>
          <w:lang w:val="en-GB"/>
        </w:rPr>
        <w:t>Where insufficient “actual” cost performance data exists, no benchmark data is provided.</w:t>
      </w:r>
      <w:r w:rsidR="00323593" w:rsidRPr="00446C45">
        <w:rPr>
          <w:rFonts w:ascii="Arial" w:hAnsi="Arial" w:cs="Arial"/>
          <w:sz w:val="22"/>
          <w:szCs w:val="24"/>
          <w:lang w:val="en-GB"/>
        </w:rPr>
        <w:t xml:space="preserve"> </w:t>
      </w:r>
      <w:r w:rsidR="005E09C4" w:rsidRPr="008947FB">
        <w:rPr>
          <w:rFonts w:ascii="Arial" w:hAnsi="Arial" w:cs="Arial"/>
          <w:sz w:val="22"/>
          <w:szCs w:val="24"/>
          <w:lang w:val="en-GB"/>
        </w:rPr>
        <w:t xml:space="preserve">Explanation of the </w:t>
      </w:r>
      <w:r w:rsidR="00FE7A61" w:rsidRPr="008947FB">
        <w:rPr>
          <w:rFonts w:ascii="Arial" w:hAnsi="Arial" w:cs="Arial"/>
          <w:sz w:val="22"/>
          <w:szCs w:val="24"/>
          <w:lang w:val="en-GB"/>
        </w:rPr>
        <w:t>benchmark calculation methodolo</w:t>
      </w:r>
      <w:r w:rsidR="005E09C4" w:rsidRPr="008947FB">
        <w:rPr>
          <w:rFonts w:ascii="Arial" w:hAnsi="Arial" w:cs="Arial"/>
          <w:sz w:val="22"/>
          <w:szCs w:val="24"/>
          <w:lang w:val="en-GB"/>
        </w:rPr>
        <w:t>g</w:t>
      </w:r>
      <w:r w:rsidR="00FE7A61" w:rsidRPr="008947FB">
        <w:rPr>
          <w:rFonts w:ascii="Arial" w:hAnsi="Arial" w:cs="Arial"/>
          <w:sz w:val="22"/>
          <w:szCs w:val="24"/>
          <w:lang w:val="en-GB"/>
        </w:rPr>
        <w:t>y plus</w:t>
      </w:r>
      <w:r w:rsidR="002C51B3" w:rsidRPr="008947FB">
        <w:rPr>
          <w:rFonts w:ascii="Arial" w:hAnsi="Arial" w:cs="Arial"/>
          <w:sz w:val="22"/>
          <w:szCs w:val="24"/>
          <w:lang w:val="en-GB"/>
        </w:rPr>
        <w:t xml:space="preserve"> </w:t>
      </w:r>
      <w:r w:rsidR="002C51B3" w:rsidRPr="00446C45">
        <w:rPr>
          <w:rFonts w:ascii="Arial" w:hAnsi="Arial" w:cs="Arial"/>
          <w:sz w:val="22"/>
          <w:szCs w:val="24"/>
          <w:lang w:val="en-GB"/>
        </w:rPr>
        <w:t xml:space="preserve">metrics </w:t>
      </w:r>
      <w:r w:rsidR="00B4109C" w:rsidRPr="00446C45">
        <w:rPr>
          <w:rFonts w:ascii="Arial" w:hAnsi="Arial" w:cs="Arial"/>
          <w:sz w:val="22"/>
          <w:szCs w:val="24"/>
          <w:lang w:val="en-GB"/>
        </w:rPr>
        <w:t>quartiles</w:t>
      </w:r>
      <w:r w:rsidR="009E6DB4" w:rsidRPr="00446C45">
        <w:rPr>
          <w:rFonts w:ascii="Arial" w:hAnsi="Arial" w:cs="Arial"/>
          <w:sz w:val="22"/>
          <w:szCs w:val="24"/>
          <w:lang w:val="en-GB"/>
        </w:rPr>
        <w:t xml:space="preserve">, </w:t>
      </w:r>
      <w:r w:rsidR="00805EE4" w:rsidRPr="00446C45">
        <w:rPr>
          <w:rFonts w:ascii="Arial" w:hAnsi="Arial" w:cs="Arial"/>
          <w:sz w:val="22"/>
          <w:szCs w:val="24"/>
          <w:lang w:val="en-GB"/>
        </w:rPr>
        <w:t>P</w:t>
      </w:r>
      <w:r w:rsidR="00B4109C" w:rsidRPr="00446C45">
        <w:rPr>
          <w:rFonts w:ascii="Arial" w:hAnsi="Arial" w:cs="Arial"/>
          <w:sz w:val="22"/>
          <w:szCs w:val="24"/>
          <w:lang w:val="en-GB"/>
        </w:rPr>
        <w:t>25</w:t>
      </w:r>
      <w:bookmarkEnd w:id="113"/>
      <w:bookmarkEnd w:id="114"/>
      <w:bookmarkEnd w:id="115"/>
      <w:r w:rsidR="00805EE4" w:rsidRPr="00446C45">
        <w:rPr>
          <w:rFonts w:ascii="Arial" w:hAnsi="Arial" w:cs="Arial"/>
          <w:sz w:val="22"/>
          <w:szCs w:val="24"/>
          <w:lang w:val="en-GB"/>
        </w:rPr>
        <w:t>, P50 and P</w:t>
      </w:r>
      <w:r w:rsidR="00B4109C" w:rsidRPr="00446C45">
        <w:rPr>
          <w:rFonts w:ascii="Arial" w:hAnsi="Arial" w:cs="Arial"/>
          <w:sz w:val="22"/>
          <w:szCs w:val="24"/>
          <w:lang w:val="en-GB"/>
        </w:rPr>
        <w:t>75</w:t>
      </w:r>
      <w:r w:rsidR="00805EE4" w:rsidRPr="00446C45">
        <w:rPr>
          <w:rFonts w:ascii="Arial" w:hAnsi="Arial" w:cs="Arial"/>
          <w:sz w:val="22"/>
          <w:szCs w:val="24"/>
          <w:lang w:val="en-GB"/>
        </w:rPr>
        <w:t xml:space="preserve">, referenced in the graphs, are </w:t>
      </w:r>
      <w:r w:rsidR="005E09C4" w:rsidRPr="008947FB">
        <w:rPr>
          <w:rFonts w:ascii="Arial" w:hAnsi="Arial" w:cs="Arial"/>
          <w:sz w:val="22"/>
          <w:szCs w:val="24"/>
          <w:lang w:val="en-GB"/>
        </w:rPr>
        <w:t>provided in appendices</w:t>
      </w:r>
      <w:r w:rsidR="00805EE4" w:rsidRPr="00446C45">
        <w:rPr>
          <w:rFonts w:ascii="Arial" w:hAnsi="Arial" w:cs="Arial"/>
          <w:sz w:val="22"/>
          <w:szCs w:val="24"/>
          <w:lang w:val="en-GB"/>
        </w:rPr>
        <w:t>.</w:t>
      </w:r>
      <w:bookmarkEnd w:id="116"/>
    </w:p>
    <w:p w14:paraId="6A0C2AD9" w14:textId="77777777" w:rsidR="00446C45" w:rsidRPr="00446C45" w:rsidRDefault="00446C45" w:rsidP="00446C45">
      <w:pPr>
        <w:jc w:val="both"/>
        <w:rPr>
          <w:rFonts w:ascii="Arial" w:hAnsi="Arial" w:cs="Arial"/>
          <w:sz w:val="22"/>
          <w:szCs w:val="24"/>
          <w:lang w:val="en-GB"/>
        </w:rPr>
      </w:pPr>
    </w:p>
    <w:p w14:paraId="28BA0867" w14:textId="7256DCCE" w:rsidR="003E3B87" w:rsidRDefault="0084446A" w:rsidP="00446C45">
      <w:pPr>
        <w:jc w:val="both"/>
        <w:rPr>
          <w:rFonts w:ascii="Arial" w:hAnsi="Arial" w:cs="Arial"/>
          <w:sz w:val="22"/>
          <w:szCs w:val="24"/>
          <w:lang w:val="en-GB"/>
        </w:rPr>
      </w:pPr>
      <w:r w:rsidRPr="00446C45">
        <w:rPr>
          <w:rFonts w:ascii="Arial" w:hAnsi="Arial" w:cs="Arial"/>
          <w:sz w:val="22"/>
          <w:szCs w:val="24"/>
          <w:lang w:val="en-GB"/>
        </w:rPr>
        <w:t xml:space="preserve">Where </w:t>
      </w:r>
      <w:r w:rsidR="005C742C" w:rsidRPr="00446C45">
        <w:rPr>
          <w:rFonts w:ascii="Arial" w:hAnsi="Arial" w:cs="Arial"/>
          <w:sz w:val="22"/>
          <w:szCs w:val="24"/>
          <w:lang w:val="en-GB"/>
        </w:rPr>
        <w:t xml:space="preserve">considered to be </w:t>
      </w:r>
      <w:r w:rsidRPr="00446C45">
        <w:rPr>
          <w:rFonts w:ascii="Arial" w:hAnsi="Arial" w:cs="Arial"/>
          <w:sz w:val="22"/>
          <w:szCs w:val="24"/>
          <w:lang w:val="en-GB"/>
        </w:rPr>
        <w:t xml:space="preserve">meaningful and </w:t>
      </w:r>
      <w:r w:rsidR="00CE024A" w:rsidRPr="00446C45">
        <w:rPr>
          <w:rFonts w:ascii="Arial" w:hAnsi="Arial" w:cs="Arial"/>
          <w:sz w:val="22"/>
          <w:szCs w:val="24"/>
          <w:lang w:val="en-GB"/>
        </w:rPr>
        <w:t xml:space="preserve">when sufficient actual data exists, benchmarks may be </w:t>
      </w:r>
      <w:r w:rsidR="005C742C" w:rsidRPr="00446C45">
        <w:rPr>
          <w:rFonts w:ascii="Arial" w:hAnsi="Arial" w:cs="Arial"/>
          <w:sz w:val="22"/>
          <w:szCs w:val="24"/>
          <w:lang w:val="en-GB"/>
        </w:rPr>
        <w:t xml:space="preserve">further refined and </w:t>
      </w:r>
      <w:r w:rsidR="00A5209B" w:rsidRPr="00446C45">
        <w:rPr>
          <w:rFonts w:ascii="Arial" w:hAnsi="Arial" w:cs="Arial"/>
          <w:sz w:val="22"/>
          <w:szCs w:val="24"/>
          <w:lang w:val="en-GB"/>
        </w:rPr>
        <w:t xml:space="preserve">presented </w:t>
      </w:r>
      <w:r w:rsidR="00B7441A" w:rsidRPr="00446C45">
        <w:rPr>
          <w:rFonts w:ascii="Arial" w:hAnsi="Arial" w:cs="Arial"/>
          <w:sz w:val="22"/>
          <w:szCs w:val="24"/>
          <w:lang w:val="en-GB"/>
        </w:rPr>
        <w:t xml:space="preserve">by </w:t>
      </w:r>
      <w:r w:rsidR="008B5C19" w:rsidRPr="00446C45">
        <w:rPr>
          <w:rFonts w:ascii="Arial" w:hAnsi="Arial" w:cs="Arial"/>
          <w:sz w:val="22"/>
          <w:szCs w:val="24"/>
          <w:lang w:val="en-GB"/>
        </w:rPr>
        <w:t xml:space="preserve">UKCS </w:t>
      </w:r>
      <w:r w:rsidR="00B7441A" w:rsidRPr="00446C45">
        <w:rPr>
          <w:rFonts w:ascii="Arial" w:hAnsi="Arial" w:cs="Arial"/>
          <w:sz w:val="22"/>
          <w:szCs w:val="24"/>
          <w:lang w:val="en-GB"/>
        </w:rPr>
        <w:t>geo</w:t>
      </w:r>
      <w:r w:rsidR="003A64E5" w:rsidRPr="00446C45">
        <w:rPr>
          <w:rFonts w:ascii="Arial" w:hAnsi="Arial" w:cs="Arial"/>
          <w:sz w:val="22"/>
          <w:szCs w:val="24"/>
          <w:lang w:val="en-GB"/>
        </w:rPr>
        <w:t>graphical sector.</w:t>
      </w:r>
    </w:p>
    <w:p w14:paraId="5E251ACA" w14:textId="77777777" w:rsidR="00195156" w:rsidRPr="00195156" w:rsidRDefault="00195156" w:rsidP="00195156">
      <w:pPr>
        <w:jc w:val="both"/>
        <w:rPr>
          <w:rFonts w:ascii="Arial" w:hAnsi="Arial" w:cs="Arial"/>
          <w:sz w:val="22"/>
          <w:szCs w:val="24"/>
          <w:lang w:val="en-GB"/>
        </w:rPr>
      </w:pPr>
    </w:p>
    <w:p w14:paraId="18170D94" w14:textId="4C5396D7" w:rsidR="005F6AD9" w:rsidRDefault="004C25F6" w:rsidP="00446C45">
      <w:pPr>
        <w:jc w:val="both"/>
        <w:rPr>
          <w:rFonts w:ascii="Arial" w:hAnsi="Arial" w:cs="Arial"/>
          <w:sz w:val="22"/>
          <w:szCs w:val="24"/>
          <w:lang w:val="en-GB"/>
        </w:rPr>
      </w:pPr>
      <w:r>
        <w:rPr>
          <w:rFonts w:ascii="Arial" w:hAnsi="Arial" w:cs="Arial"/>
          <w:sz w:val="22"/>
          <w:szCs w:val="24"/>
          <w:lang w:val="en-GB"/>
        </w:rPr>
        <w:t>C</w:t>
      </w:r>
      <w:r w:rsidR="002634B3">
        <w:rPr>
          <w:rFonts w:ascii="Arial" w:hAnsi="Arial" w:cs="Arial"/>
          <w:sz w:val="22"/>
          <w:szCs w:val="24"/>
          <w:lang w:val="en-GB"/>
        </w:rPr>
        <w:t xml:space="preserve">onsistent allocation of </w:t>
      </w:r>
      <w:r w:rsidR="0053376C">
        <w:rPr>
          <w:rFonts w:ascii="Arial" w:hAnsi="Arial" w:cs="Arial"/>
          <w:sz w:val="22"/>
          <w:szCs w:val="24"/>
          <w:lang w:val="en-GB"/>
        </w:rPr>
        <w:t xml:space="preserve">actual </w:t>
      </w:r>
      <w:r w:rsidR="002634B3">
        <w:rPr>
          <w:rFonts w:ascii="Arial" w:hAnsi="Arial" w:cs="Arial"/>
          <w:sz w:val="22"/>
          <w:szCs w:val="24"/>
          <w:lang w:val="en-GB"/>
        </w:rPr>
        <w:t xml:space="preserve">costs to each of the WBS </w:t>
      </w:r>
      <w:r>
        <w:rPr>
          <w:rFonts w:ascii="Arial" w:hAnsi="Arial" w:cs="Arial"/>
          <w:sz w:val="22"/>
          <w:szCs w:val="24"/>
          <w:lang w:val="en-GB"/>
        </w:rPr>
        <w:t>elements</w:t>
      </w:r>
      <w:r w:rsidR="007F566C">
        <w:rPr>
          <w:rFonts w:ascii="Arial" w:hAnsi="Arial" w:cs="Arial"/>
          <w:sz w:val="22"/>
          <w:szCs w:val="24"/>
          <w:lang w:val="en-GB"/>
        </w:rPr>
        <w:t xml:space="preserve"> by the Operator</w:t>
      </w:r>
      <w:r>
        <w:rPr>
          <w:rFonts w:ascii="Arial" w:hAnsi="Arial" w:cs="Arial"/>
          <w:sz w:val="22"/>
          <w:szCs w:val="24"/>
          <w:lang w:val="en-GB"/>
        </w:rPr>
        <w:t xml:space="preserve"> </w:t>
      </w:r>
      <w:r w:rsidR="002634B3">
        <w:rPr>
          <w:rFonts w:ascii="Arial" w:hAnsi="Arial" w:cs="Arial"/>
          <w:sz w:val="22"/>
          <w:szCs w:val="24"/>
          <w:lang w:val="en-GB"/>
        </w:rPr>
        <w:t>is paramount</w:t>
      </w:r>
      <w:r w:rsidR="00722ED2">
        <w:rPr>
          <w:rFonts w:ascii="Arial" w:hAnsi="Arial" w:cs="Arial"/>
          <w:sz w:val="22"/>
          <w:szCs w:val="24"/>
          <w:lang w:val="en-GB"/>
        </w:rPr>
        <w:t xml:space="preserve"> in the development of</w:t>
      </w:r>
      <w:r w:rsidR="00C93C26">
        <w:rPr>
          <w:rFonts w:ascii="Arial" w:hAnsi="Arial" w:cs="Arial"/>
          <w:sz w:val="22"/>
          <w:szCs w:val="24"/>
          <w:lang w:val="en-GB"/>
        </w:rPr>
        <w:t xml:space="preserve"> robust and consistent</w:t>
      </w:r>
      <w:r w:rsidR="00722ED2">
        <w:rPr>
          <w:rFonts w:ascii="Arial" w:hAnsi="Arial" w:cs="Arial"/>
          <w:sz w:val="22"/>
          <w:szCs w:val="24"/>
          <w:lang w:val="en-GB"/>
        </w:rPr>
        <w:t xml:space="preserve"> decommissioning benchmarks.</w:t>
      </w:r>
    </w:p>
    <w:p w14:paraId="088628E2" w14:textId="77777777" w:rsidR="0003227C" w:rsidRDefault="0003227C" w:rsidP="00446C45">
      <w:pPr>
        <w:jc w:val="both"/>
        <w:rPr>
          <w:rFonts w:ascii="Arial" w:hAnsi="Arial" w:cs="Arial"/>
          <w:sz w:val="22"/>
          <w:szCs w:val="24"/>
          <w:lang w:val="en-GB"/>
        </w:rPr>
      </w:pPr>
    </w:p>
    <w:p w14:paraId="4AFA207B" w14:textId="5E101785" w:rsidR="001155D8" w:rsidRPr="00286EFD" w:rsidRDefault="00F03494" w:rsidP="00074A0A">
      <w:pPr>
        <w:jc w:val="both"/>
        <w:rPr>
          <w:rFonts w:ascii="Arial" w:hAnsi="Arial" w:cs="Arial"/>
          <w:sz w:val="22"/>
          <w:szCs w:val="24"/>
          <w:lang w:val="en-GB"/>
        </w:rPr>
      </w:pPr>
      <w:bookmarkStart w:id="117" w:name="_Hlk516472378"/>
      <w:r>
        <w:rPr>
          <w:rFonts w:ascii="Arial" w:hAnsi="Arial" w:cs="Arial"/>
          <w:sz w:val="22"/>
          <w:szCs w:val="24"/>
          <w:lang w:val="en-GB"/>
        </w:rPr>
        <w:t xml:space="preserve">Does this table get a title? </w:t>
      </w:r>
      <w:r w:rsidR="00F304DE">
        <w:rPr>
          <w:rFonts w:ascii="Arial" w:hAnsi="Arial" w:cs="Arial"/>
          <w:sz w:val="22"/>
          <w:szCs w:val="24"/>
          <w:lang w:val="en-GB"/>
        </w:rPr>
        <w:t>Maybe “Overview of 2020 Benchmark</w:t>
      </w:r>
      <w:r w:rsidR="005258C2">
        <w:rPr>
          <w:rFonts w:ascii="Arial" w:hAnsi="Arial" w:cs="Arial"/>
          <w:sz w:val="22"/>
          <w:szCs w:val="24"/>
          <w:lang w:val="en-GB"/>
        </w:rPr>
        <w:t>s</w:t>
      </w:r>
      <w:r w:rsidR="00F304DE">
        <w:rPr>
          <w:rFonts w:ascii="Arial" w:hAnsi="Arial" w:cs="Arial"/>
          <w:sz w:val="22"/>
          <w:szCs w:val="24"/>
          <w:lang w:val="en-GB"/>
        </w:rPr>
        <w:t xml:space="preserve"> and Movement from Prior Year”?</w:t>
      </w:r>
    </w:p>
    <w:p w14:paraId="3F40C0A8" w14:textId="3D0F9BD6" w:rsidR="00315EC9" w:rsidRDefault="009A2B1A" w:rsidP="00074A0A">
      <w:pPr>
        <w:jc w:val="both"/>
        <w:rPr>
          <w:rFonts w:ascii="Arial" w:hAnsi="Arial" w:cs="Arial"/>
          <w:b/>
          <w:sz w:val="22"/>
          <w:szCs w:val="24"/>
          <w:u w:val="single"/>
          <w:lang w:val="en-GB"/>
        </w:rPr>
      </w:pPr>
      <w:r w:rsidRPr="009A2B1A">
        <w:rPr>
          <w:noProof/>
        </w:rPr>
        <w:t xml:space="preserve"> </w:t>
      </w:r>
      <w:r w:rsidR="00204472">
        <w:rPr>
          <w:noProof/>
        </w:rPr>
        <w:drawing>
          <wp:inline distT="0" distB="0" distL="0" distR="0" wp14:anchorId="545D72FD" wp14:editId="2DFC1277">
            <wp:extent cx="6641788" cy="1277815"/>
            <wp:effectExtent l="0" t="0" r="698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5901" cy="1293997"/>
                    </a:xfrm>
                    <a:prstGeom prst="rect">
                      <a:avLst/>
                    </a:prstGeom>
                    <a:noFill/>
                  </pic:spPr>
                </pic:pic>
              </a:graphicData>
            </a:graphic>
          </wp:inline>
        </w:drawing>
      </w:r>
    </w:p>
    <w:p w14:paraId="62E505E1" w14:textId="24B17880" w:rsidR="001155D8" w:rsidRDefault="004053E9" w:rsidP="00074A0A">
      <w:pPr>
        <w:jc w:val="both"/>
        <w:rPr>
          <w:rFonts w:ascii="Arial" w:hAnsi="Arial" w:cs="Arial"/>
          <w:b/>
          <w:sz w:val="22"/>
          <w:szCs w:val="24"/>
          <w:u w:val="single"/>
          <w:lang w:val="en-GB"/>
        </w:rPr>
      </w:pPr>
      <w:r w:rsidRPr="004053E9">
        <w:rPr>
          <w:rFonts w:ascii="Arial" w:hAnsi="Arial" w:cs="Arial"/>
          <w:bCs/>
          <w:noProof/>
          <w:sz w:val="22"/>
          <w:szCs w:val="24"/>
          <w:lang w:val="en-GB"/>
        </w:rPr>
        <w:drawing>
          <wp:inline distT="0" distB="0" distL="0" distR="0" wp14:anchorId="4ABEEDE2" wp14:editId="245F6C77">
            <wp:extent cx="1082335" cy="747713"/>
            <wp:effectExtent l="0" t="0" r="381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799" cy="763232"/>
                    </a:xfrm>
                    <a:prstGeom prst="rect">
                      <a:avLst/>
                    </a:prstGeom>
                    <a:noFill/>
                  </pic:spPr>
                </pic:pic>
              </a:graphicData>
            </a:graphic>
          </wp:inline>
        </w:drawing>
      </w:r>
    </w:p>
    <w:p w14:paraId="72782EB9" w14:textId="77777777" w:rsidR="001155D8" w:rsidRDefault="001155D8" w:rsidP="00074A0A">
      <w:pPr>
        <w:jc w:val="both"/>
        <w:rPr>
          <w:rFonts w:ascii="Arial" w:hAnsi="Arial" w:cs="Arial"/>
          <w:b/>
          <w:sz w:val="22"/>
          <w:szCs w:val="24"/>
          <w:u w:val="single"/>
          <w:lang w:val="en-GB"/>
        </w:rPr>
      </w:pPr>
    </w:p>
    <w:p w14:paraId="6E7C7A3D" w14:textId="16B51B69" w:rsidR="001155D8" w:rsidRPr="00966853" w:rsidRDefault="00966853" w:rsidP="00966853">
      <w:pPr>
        <w:pStyle w:val="Heading1"/>
        <w:numPr>
          <w:ilvl w:val="0"/>
          <w:numId w:val="40"/>
        </w:numPr>
        <w:spacing w:after="120"/>
        <w:jc w:val="left"/>
        <w:rPr>
          <w:color w:val="0070C0"/>
          <w:lang w:val="en-GB"/>
        </w:rPr>
      </w:pPr>
      <w:bookmarkStart w:id="118" w:name="_Toc85627554"/>
      <w:r w:rsidRPr="00966853">
        <w:rPr>
          <w:color w:val="0070C0"/>
          <w:lang w:val="en-GB"/>
        </w:rPr>
        <w:t>Project Management</w:t>
      </w:r>
      <w:bookmarkEnd w:id="118"/>
    </w:p>
    <w:p w14:paraId="42F49E16" w14:textId="77777777" w:rsidR="001155D8" w:rsidRDefault="001155D8" w:rsidP="00074A0A">
      <w:pPr>
        <w:jc w:val="both"/>
        <w:rPr>
          <w:rFonts w:ascii="Arial" w:hAnsi="Arial" w:cs="Arial"/>
          <w:b/>
          <w:sz w:val="22"/>
          <w:szCs w:val="24"/>
          <w:u w:val="single"/>
          <w:lang w:val="en-GB"/>
        </w:rPr>
      </w:pPr>
    </w:p>
    <w:p w14:paraId="035BAB15" w14:textId="1FB2D64A" w:rsidR="00CE1E8A" w:rsidRDefault="0012567B" w:rsidP="00074A0A">
      <w:pPr>
        <w:jc w:val="both"/>
        <w:rPr>
          <w:rFonts w:ascii="Arial" w:hAnsi="Arial" w:cs="Arial"/>
          <w:b/>
          <w:sz w:val="22"/>
          <w:szCs w:val="24"/>
          <w:u w:val="single"/>
          <w:lang w:val="en-GB"/>
        </w:rPr>
      </w:pPr>
      <w:r>
        <w:rPr>
          <w:noProof/>
        </w:rPr>
        <w:drawing>
          <wp:inline distT="0" distB="0" distL="0" distR="0" wp14:anchorId="2AD39180" wp14:editId="4B43D810">
            <wp:extent cx="359900" cy="389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812" cy="407515"/>
                    </a:xfrm>
                    <a:prstGeom prst="rect">
                      <a:avLst/>
                    </a:prstGeom>
                  </pic:spPr>
                </pic:pic>
              </a:graphicData>
            </a:graphic>
          </wp:inline>
        </w:drawing>
      </w:r>
    </w:p>
    <w:p w14:paraId="48F70763" w14:textId="632959E2" w:rsidR="00090A90" w:rsidRDefault="00090A90" w:rsidP="00074A0A">
      <w:pPr>
        <w:jc w:val="both"/>
        <w:rPr>
          <w:rFonts w:ascii="Arial" w:hAnsi="Arial" w:cs="Arial"/>
          <w:sz w:val="22"/>
          <w:szCs w:val="24"/>
          <w:lang w:val="en-GB"/>
        </w:rPr>
      </w:pPr>
      <w:r w:rsidRPr="001526D2">
        <w:rPr>
          <w:rFonts w:ascii="Arial" w:hAnsi="Arial" w:cs="Arial"/>
          <w:sz w:val="22"/>
          <w:szCs w:val="24"/>
          <w:lang w:val="en-GB"/>
        </w:rPr>
        <w:t xml:space="preserve">Benchmarks for </w:t>
      </w:r>
      <w:r w:rsidR="0038169E" w:rsidRPr="001526D2">
        <w:rPr>
          <w:rFonts w:ascii="Arial" w:hAnsi="Arial" w:cs="Arial"/>
          <w:sz w:val="22"/>
          <w:szCs w:val="24"/>
          <w:lang w:val="en-GB"/>
        </w:rPr>
        <w:t>Decommissioning</w:t>
      </w:r>
      <w:r w:rsidRPr="001526D2">
        <w:rPr>
          <w:rFonts w:ascii="Arial" w:hAnsi="Arial" w:cs="Arial"/>
          <w:sz w:val="22"/>
          <w:szCs w:val="24"/>
          <w:lang w:val="en-GB"/>
        </w:rPr>
        <w:t xml:space="preserve"> Project Management </w:t>
      </w:r>
      <w:r w:rsidR="009D0A5D">
        <w:rPr>
          <w:rFonts w:ascii="Arial" w:hAnsi="Arial" w:cs="Arial"/>
          <w:sz w:val="22"/>
          <w:szCs w:val="24"/>
          <w:lang w:val="en-GB"/>
        </w:rPr>
        <w:t xml:space="preserve">(PM) </w:t>
      </w:r>
      <w:r w:rsidRPr="001526D2">
        <w:rPr>
          <w:rFonts w:ascii="Arial" w:hAnsi="Arial" w:cs="Arial"/>
          <w:sz w:val="22"/>
          <w:szCs w:val="24"/>
          <w:lang w:val="en-GB"/>
        </w:rPr>
        <w:t xml:space="preserve">are </w:t>
      </w:r>
      <w:r w:rsidR="00DB76F7" w:rsidRPr="001526D2">
        <w:rPr>
          <w:rFonts w:ascii="Arial" w:hAnsi="Arial" w:cs="Arial"/>
          <w:sz w:val="22"/>
          <w:szCs w:val="24"/>
          <w:lang w:val="en-GB"/>
        </w:rPr>
        <w:t>sub-divided into two categories (</w:t>
      </w:r>
      <w:r w:rsidR="00E51DB3" w:rsidRPr="001526D2">
        <w:rPr>
          <w:rFonts w:ascii="Arial" w:hAnsi="Arial" w:cs="Arial"/>
          <w:sz w:val="22"/>
          <w:szCs w:val="24"/>
          <w:lang w:val="en-GB"/>
        </w:rPr>
        <w:t xml:space="preserve">1) Projects &lt; £150MM and (2) Projects &gt; £150MM </w:t>
      </w:r>
      <w:r w:rsidR="00854303" w:rsidRPr="001526D2">
        <w:rPr>
          <w:rFonts w:ascii="Arial" w:hAnsi="Arial" w:cs="Arial"/>
          <w:sz w:val="22"/>
          <w:szCs w:val="24"/>
          <w:lang w:val="en-GB"/>
        </w:rPr>
        <w:t xml:space="preserve">to differentiate </w:t>
      </w:r>
      <w:r w:rsidR="00A523A8" w:rsidRPr="001526D2">
        <w:rPr>
          <w:rFonts w:ascii="Arial" w:hAnsi="Arial" w:cs="Arial"/>
          <w:sz w:val="22"/>
          <w:szCs w:val="24"/>
          <w:lang w:val="en-GB"/>
        </w:rPr>
        <w:t xml:space="preserve">the </w:t>
      </w:r>
      <w:r w:rsidR="00457470" w:rsidRPr="001526D2">
        <w:rPr>
          <w:rFonts w:ascii="Arial" w:hAnsi="Arial" w:cs="Arial"/>
          <w:sz w:val="22"/>
          <w:szCs w:val="24"/>
          <w:lang w:val="en-GB"/>
        </w:rPr>
        <w:t xml:space="preserve">potential variance in </w:t>
      </w:r>
      <w:r w:rsidR="00711D58" w:rsidRPr="001526D2">
        <w:rPr>
          <w:rFonts w:ascii="Arial" w:hAnsi="Arial" w:cs="Arial"/>
          <w:sz w:val="22"/>
          <w:szCs w:val="24"/>
          <w:lang w:val="en-GB"/>
        </w:rPr>
        <w:t xml:space="preserve">PM </w:t>
      </w:r>
      <w:r w:rsidR="001526D2" w:rsidRPr="001526D2">
        <w:rPr>
          <w:rFonts w:ascii="Arial" w:hAnsi="Arial" w:cs="Arial"/>
          <w:sz w:val="22"/>
          <w:szCs w:val="24"/>
          <w:lang w:val="en-GB"/>
        </w:rPr>
        <w:t>costs as a function of project size.</w:t>
      </w:r>
    </w:p>
    <w:p w14:paraId="0D94B73F" w14:textId="77777777" w:rsidR="0075589E" w:rsidRDefault="0075589E" w:rsidP="00074A0A">
      <w:pPr>
        <w:jc w:val="both"/>
        <w:rPr>
          <w:rFonts w:ascii="Arial" w:hAnsi="Arial" w:cs="Arial"/>
          <w:sz w:val="22"/>
          <w:szCs w:val="24"/>
          <w:lang w:val="en-GB"/>
        </w:rPr>
      </w:pPr>
    </w:p>
    <w:p w14:paraId="3B61ED2E" w14:textId="65F026FC" w:rsidR="00B4027B" w:rsidRDefault="0075589E" w:rsidP="00B4027B">
      <w:pPr>
        <w:jc w:val="both"/>
        <w:rPr>
          <w:rFonts w:ascii="Arial" w:hAnsi="Arial" w:cs="Arial"/>
          <w:sz w:val="22"/>
          <w:szCs w:val="24"/>
          <w:lang w:val="en-GB"/>
        </w:rPr>
      </w:pPr>
      <w:r w:rsidRPr="0075589E">
        <w:rPr>
          <w:rFonts w:ascii="Arial" w:hAnsi="Arial" w:cs="Arial"/>
          <w:sz w:val="22"/>
          <w:szCs w:val="24"/>
          <w:lang w:val="en-GB"/>
        </w:rPr>
        <w:t xml:space="preserve">Metric: Project management </w:t>
      </w:r>
      <w:r>
        <w:rPr>
          <w:rFonts w:ascii="Arial" w:hAnsi="Arial" w:cs="Arial"/>
          <w:sz w:val="22"/>
          <w:szCs w:val="24"/>
          <w:lang w:val="en-GB"/>
        </w:rPr>
        <w:t xml:space="preserve">costs expressed as </w:t>
      </w:r>
      <w:r w:rsidRPr="0075589E">
        <w:rPr>
          <w:rFonts w:ascii="Arial" w:hAnsi="Arial" w:cs="Arial"/>
          <w:sz w:val="22"/>
          <w:szCs w:val="24"/>
          <w:lang w:val="en-GB"/>
        </w:rPr>
        <w:t>% of total decommissioning costs.</w:t>
      </w:r>
    </w:p>
    <w:p w14:paraId="73469558" w14:textId="77777777" w:rsidR="002B3808" w:rsidRDefault="002B3808" w:rsidP="00B4027B">
      <w:pPr>
        <w:jc w:val="both"/>
        <w:rPr>
          <w:rFonts w:ascii="Arial" w:hAnsi="Arial" w:cs="Arial"/>
          <w:sz w:val="22"/>
          <w:szCs w:val="24"/>
          <w:lang w:val="en-GB"/>
        </w:rPr>
      </w:pPr>
    </w:p>
    <w:p w14:paraId="1DDB50E9" w14:textId="7F63E76D" w:rsidR="002B3808" w:rsidRPr="00B4027B" w:rsidRDefault="00743A18" w:rsidP="00B4027B">
      <w:pPr>
        <w:jc w:val="both"/>
        <w:rPr>
          <w:rFonts w:ascii="Arial" w:hAnsi="Arial" w:cs="Arial"/>
          <w:sz w:val="22"/>
          <w:szCs w:val="24"/>
          <w:lang w:val="en-GB"/>
        </w:rPr>
      </w:pPr>
      <w:r>
        <w:rPr>
          <w:rFonts w:ascii="Arial" w:hAnsi="Arial" w:cs="Arial"/>
          <w:sz w:val="22"/>
          <w:szCs w:val="24"/>
          <w:lang w:val="en-GB"/>
        </w:rPr>
        <w:t>Whilst a</w:t>
      </w:r>
      <w:r w:rsidR="00D91F2D">
        <w:rPr>
          <w:rFonts w:ascii="Arial" w:hAnsi="Arial" w:cs="Arial"/>
          <w:sz w:val="22"/>
          <w:szCs w:val="24"/>
          <w:lang w:val="en-GB"/>
        </w:rPr>
        <w:t xml:space="preserve"> reduction in PM </w:t>
      </w:r>
      <w:r w:rsidR="004D6AF4">
        <w:rPr>
          <w:rFonts w:ascii="Arial" w:hAnsi="Arial" w:cs="Arial"/>
          <w:sz w:val="22"/>
          <w:szCs w:val="24"/>
          <w:lang w:val="en-GB"/>
        </w:rPr>
        <w:t>%</w:t>
      </w:r>
      <w:r w:rsidR="00D91F2D">
        <w:rPr>
          <w:rFonts w:ascii="Arial" w:hAnsi="Arial" w:cs="Arial"/>
          <w:sz w:val="22"/>
          <w:szCs w:val="24"/>
          <w:lang w:val="en-GB"/>
        </w:rPr>
        <w:t xml:space="preserve"> is </w:t>
      </w:r>
      <w:r w:rsidR="00E62BBE">
        <w:rPr>
          <w:rFonts w:ascii="Arial" w:hAnsi="Arial" w:cs="Arial"/>
          <w:sz w:val="22"/>
          <w:szCs w:val="24"/>
          <w:lang w:val="en-GB"/>
        </w:rPr>
        <w:t>often</w:t>
      </w:r>
      <w:r w:rsidR="00E01B2E">
        <w:rPr>
          <w:rFonts w:ascii="Arial" w:hAnsi="Arial" w:cs="Arial"/>
          <w:sz w:val="22"/>
          <w:szCs w:val="24"/>
          <w:lang w:val="en-GB"/>
        </w:rPr>
        <w:t xml:space="preserve"> regarded as </w:t>
      </w:r>
      <w:r w:rsidR="00B37322">
        <w:rPr>
          <w:rFonts w:ascii="Arial" w:hAnsi="Arial" w:cs="Arial"/>
          <w:sz w:val="22"/>
          <w:szCs w:val="24"/>
          <w:lang w:val="en-GB"/>
        </w:rPr>
        <w:t xml:space="preserve">directionally </w:t>
      </w:r>
      <w:r w:rsidR="007D1A64">
        <w:rPr>
          <w:rFonts w:ascii="Arial" w:hAnsi="Arial" w:cs="Arial"/>
          <w:sz w:val="22"/>
          <w:szCs w:val="24"/>
          <w:lang w:val="en-GB"/>
        </w:rPr>
        <w:t>and intuitively correct</w:t>
      </w:r>
      <w:r w:rsidR="00FA7970">
        <w:rPr>
          <w:rFonts w:ascii="Arial" w:hAnsi="Arial" w:cs="Arial"/>
          <w:sz w:val="22"/>
          <w:szCs w:val="24"/>
          <w:lang w:val="en-GB"/>
        </w:rPr>
        <w:t xml:space="preserve"> this needs to be</w:t>
      </w:r>
      <w:r w:rsidR="00D91F2D">
        <w:rPr>
          <w:rFonts w:ascii="Arial" w:hAnsi="Arial" w:cs="Arial"/>
          <w:sz w:val="22"/>
          <w:szCs w:val="24"/>
          <w:lang w:val="en-GB"/>
        </w:rPr>
        <w:t xml:space="preserve"> </w:t>
      </w:r>
      <w:r w:rsidR="00364B02">
        <w:rPr>
          <w:rFonts w:ascii="Arial" w:hAnsi="Arial" w:cs="Arial"/>
          <w:sz w:val="22"/>
          <w:szCs w:val="24"/>
          <w:lang w:val="en-GB"/>
        </w:rPr>
        <w:t>considered</w:t>
      </w:r>
      <w:r w:rsidR="00753352">
        <w:rPr>
          <w:rFonts w:ascii="Arial" w:hAnsi="Arial" w:cs="Arial"/>
          <w:sz w:val="22"/>
          <w:szCs w:val="24"/>
          <w:lang w:val="en-GB"/>
        </w:rPr>
        <w:t xml:space="preserve"> </w:t>
      </w:r>
      <w:r w:rsidR="00E01B2E">
        <w:rPr>
          <w:rFonts w:ascii="Arial" w:hAnsi="Arial" w:cs="Arial"/>
          <w:sz w:val="22"/>
          <w:szCs w:val="24"/>
          <w:lang w:val="en-GB"/>
        </w:rPr>
        <w:t>within the context</w:t>
      </w:r>
      <w:r w:rsidR="00D07614">
        <w:rPr>
          <w:rFonts w:ascii="Arial" w:hAnsi="Arial" w:cs="Arial"/>
          <w:sz w:val="22"/>
          <w:szCs w:val="24"/>
          <w:lang w:val="en-GB"/>
        </w:rPr>
        <w:t xml:space="preserve"> of </w:t>
      </w:r>
      <w:r w:rsidR="00C34C4A">
        <w:rPr>
          <w:rFonts w:ascii="Arial" w:hAnsi="Arial" w:cs="Arial"/>
          <w:sz w:val="22"/>
          <w:szCs w:val="24"/>
          <w:lang w:val="en-GB"/>
        </w:rPr>
        <w:t xml:space="preserve">the </w:t>
      </w:r>
      <w:r w:rsidR="00753352">
        <w:rPr>
          <w:rFonts w:ascii="Arial" w:hAnsi="Arial" w:cs="Arial"/>
          <w:sz w:val="22"/>
          <w:szCs w:val="24"/>
          <w:lang w:val="en-GB"/>
        </w:rPr>
        <w:t xml:space="preserve">overarching </w:t>
      </w:r>
      <w:r w:rsidR="00C34C4A">
        <w:rPr>
          <w:rFonts w:ascii="Arial" w:hAnsi="Arial" w:cs="Arial"/>
          <w:sz w:val="22"/>
          <w:szCs w:val="24"/>
          <w:lang w:val="en-GB"/>
        </w:rPr>
        <w:t xml:space="preserve">objective of </w:t>
      </w:r>
      <w:r w:rsidR="00F2650E">
        <w:rPr>
          <w:rFonts w:ascii="Arial" w:hAnsi="Arial" w:cs="Arial"/>
          <w:sz w:val="22"/>
          <w:szCs w:val="24"/>
          <w:lang w:val="en-GB"/>
        </w:rPr>
        <w:t xml:space="preserve">a reduction in overall decommissioning project </w:t>
      </w:r>
      <w:r w:rsidR="00D07614">
        <w:rPr>
          <w:rFonts w:ascii="Arial" w:hAnsi="Arial" w:cs="Arial"/>
          <w:sz w:val="22"/>
          <w:szCs w:val="24"/>
          <w:lang w:val="en-GB"/>
        </w:rPr>
        <w:t>execution costs</w:t>
      </w:r>
      <w:r w:rsidR="005E5AA4">
        <w:rPr>
          <w:rFonts w:ascii="Arial" w:hAnsi="Arial" w:cs="Arial"/>
          <w:sz w:val="22"/>
          <w:szCs w:val="24"/>
          <w:lang w:val="en-GB"/>
        </w:rPr>
        <w:t xml:space="preserve">. A net reduction in project costs with </w:t>
      </w:r>
      <w:r w:rsidR="0069449B">
        <w:rPr>
          <w:rFonts w:ascii="Arial" w:hAnsi="Arial" w:cs="Arial"/>
          <w:sz w:val="22"/>
          <w:szCs w:val="24"/>
          <w:lang w:val="en-GB"/>
        </w:rPr>
        <w:t xml:space="preserve">the </w:t>
      </w:r>
      <w:r w:rsidR="005E5AA4">
        <w:rPr>
          <w:rFonts w:ascii="Arial" w:hAnsi="Arial" w:cs="Arial"/>
          <w:sz w:val="22"/>
          <w:szCs w:val="24"/>
          <w:lang w:val="en-GB"/>
        </w:rPr>
        <w:t>same PM overheads</w:t>
      </w:r>
      <w:r w:rsidR="00C34C4A">
        <w:rPr>
          <w:rFonts w:ascii="Arial" w:hAnsi="Arial" w:cs="Arial"/>
          <w:sz w:val="22"/>
          <w:szCs w:val="24"/>
          <w:lang w:val="en-GB"/>
        </w:rPr>
        <w:t xml:space="preserve"> </w:t>
      </w:r>
      <w:r w:rsidR="00737F2D">
        <w:rPr>
          <w:rFonts w:ascii="Arial" w:hAnsi="Arial" w:cs="Arial"/>
          <w:sz w:val="22"/>
          <w:szCs w:val="24"/>
          <w:lang w:val="en-GB"/>
        </w:rPr>
        <w:t>would</w:t>
      </w:r>
      <w:r w:rsidR="00C34C4A">
        <w:rPr>
          <w:rFonts w:ascii="Arial" w:hAnsi="Arial" w:cs="Arial"/>
          <w:sz w:val="22"/>
          <w:szCs w:val="24"/>
          <w:lang w:val="en-GB"/>
        </w:rPr>
        <w:t xml:space="preserve"> </w:t>
      </w:r>
      <w:r w:rsidR="00737F2D">
        <w:rPr>
          <w:rFonts w:ascii="Arial" w:hAnsi="Arial" w:cs="Arial"/>
          <w:sz w:val="22"/>
          <w:szCs w:val="24"/>
          <w:lang w:val="en-GB"/>
        </w:rPr>
        <w:t>result in a</w:t>
      </w:r>
      <w:r w:rsidR="00B37322">
        <w:rPr>
          <w:rFonts w:ascii="Arial" w:hAnsi="Arial" w:cs="Arial"/>
          <w:sz w:val="22"/>
          <w:szCs w:val="24"/>
          <w:lang w:val="en-GB"/>
        </w:rPr>
        <w:t xml:space="preserve"> relative increase in PM metric</w:t>
      </w:r>
      <w:r w:rsidR="00CD28D1">
        <w:rPr>
          <w:rFonts w:ascii="Arial" w:hAnsi="Arial" w:cs="Arial"/>
          <w:sz w:val="22"/>
          <w:szCs w:val="24"/>
          <w:lang w:val="en-GB"/>
        </w:rPr>
        <w:t>.</w:t>
      </w:r>
    </w:p>
    <w:p w14:paraId="2642D0B8" w14:textId="7365C158" w:rsidR="003221B0" w:rsidRPr="001119C7" w:rsidRDefault="00966853" w:rsidP="001119C7">
      <w:pPr>
        <w:pStyle w:val="Heading1"/>
        <w:jc w:val="left"/>
        <w:rPr>
          <w:lang w:val="en-GB"/>
        </w:rPr>
      </w:pPr>
      <w:bookmarkStart w:id="119" w:name="_Toc85627555"/>
      <w:r w:rsidRPr="001119C7">
        <w:rPr>
          <w:lang w:val="en-GB"/>
        </w:rPr>
        <w:t xml:space="preserve">3.1 </w:t>
      </w:r>
      <w:r w:rsidR="003221B0" w:rsidRPr="001119C7">
        <w:rPr>
          <w:lang w:val="en-GB"/>
        </w:rPr>
        <w:t>Projects &lt; £150MM</w:t>
      </w:r>
      <w:bookmarkEnd w:id="119"/>
    </w:p>
    <w:p w14:paraId="5D2AB3D5" w14:textId="77777777" w:rsidR="002C4DD8" w:rsidRDefault="002C4DD8" w:rsidP="00446C45">
      <w:pPr>
        <w:jc w:val="both"/>
        <w:rPr>
          <w:rFonts w:ascii="Arial" w:hAnsi="Arial" w:cs="Arial"/>
          <w:b/>
          <w:sz w:val="22"/>
          <w:szCs w:val="24"/>
          <w:u w:val="single"/>
          <w:lang w:val="en-GB"/>
        </w:rPr>
      </w:pPr>
    </w:p>
    <w:p w14:paraId="598DDBEC" w14:textId="4266A004" w:rsidR="002C4DD8" w:rsidRDefault="002C4DD8" w:rsidP="00446C45">
      <w:pPr>
        <w:jc w:val="both"/>
        <w:rPr>
          <w:rFonts w:ascii="Arial" w:hAnsi="Arial" w:cs="Arial"/>
          <w:sz w:val="22"/>
          <w:szCs w:val="24"/>
          <w:lang w:val="en-GB"/>
        </w:rPr>
      </w:pPr>
      <w:r w:rsidRPr="000551D2">
        <w:rPr>
          <w:rFonts w:ascii="Arial" w:hAnsi="Arial" w:cs="Arial"/>
          <w:sz w:val="22"/>
          <w:szCs w:val="24"/>
          <w:lang w:val="en-GB"/>
        </w:rPr>
        <w:t>Relative to</w:t>
      </w:r>
      <w:r w:rsidR="006D77FF">
        <w:rPr>
          <w:rFonts w:ascii="Arial" w:hAnsi="Arial" w:cs="Arial"/>
          <w:sz w:val="22"/>
          <w:szCs w:val="24"/>
          <w:lang w:val="en-GB"/>
        </w:rPr>
        <w:t xml:space="preserve"> the</w:t>
      </w:r>
      <w:r w:rsidRPr="000551D2">
        <w:rPr>
          <w:rFonts w:ascii="Arial" w:hAnsi="Arial" w:cs="Arial"/>
          <w:sz w:val="22"/>
          <w:szCs w:val="24"/>
          <w:lang w:val="en-GB"/>
        </w:rPr>
        <w:t xml:space="preserve"> </w:t>
      </w:r>
      <w:r w:rsidR="009037A9" w:rsidRPr="000551D2">
        <w:rPr>
          <w:rFonts w:ascii="Arial" w:hAnsi="Arial" w:cs="Arial"/>
          <w:sz w:val="22"/>
          <w:szCs w:val="24"/>
          <w:lang w:val="en-GB"/>
        </w:rPr>
        <w:t xml:space="preserve">same metric for </w:t>
      </w:r>
      <w:r w:rsidR="000555F1" w:rsidRPr="000551D2">
        <w:rPr>
          <w:rFonts w:ascii="Arial" w:hAnsi="Arial" w:cs="Arial"/>
          <w:sz w:val="22"/>
          <w:szCs w:val="24"/>
          <w:lang w:val="en-GB"/>
        </w:rPr>
        <w:t xml:space="preserve">projects &gt; £150MM a wider </w:t>
      </w:r>
      <w:r w:rsidR="00D43BEE" w:rsidRPr="000551D2">
        <w:rPr>
          <w:rFonts w:ascii="Arial" w:hAnsi="Arial" w:cs="Arial"/>
          <w:sz w:val="22"/>
          <w:szCs w:val="24"/>
          <w:lang w:val="en-GB"/>
        </w:rPr>
        <w:t xml:space="preserve">distribution of costs </w:t>
      </w:r>
      <w:proofErr w:type="gramStart"/>
      <w:r w:rsidR="00D43BEE" w:rsidRPr="000551D2">
        <w:rPr>
          <w:rFonts w:ascii="Arial" w:hAnsi="Arial" w:cs="Arial"/>
          <w:sz w:val="22"/>
          <w:szCs w:val="24"/>
          <w:lang w:val="en-GB"/>
        </w:rPr>
        <w:t>are</w:t>
      </w:r>
      <w:proofErr w:type="gramEnd"/>
      <w:r w:rsidR="00D43BEE" w:rsidRPr="000551D2">
        <w:rPr>
          <w:rFonts w:ascii="Arial" w:hAnsi="Arial" w:cs="Arial"/>
          <w:sz w:val="22"/>
          <w:szCs w:val="24"/>
          <w:lang w:val="en-GB"/>
        </w:rPr>
        <w:t xml:space="preserve"> </w:t>
      </w:r>
      <w:r w:rsidR="004208CC" w:rsidRPr="000551D2">
        <w:rPr>
          <w:rFonts w:ascii="Arial" w:hAnsi="Arial" w:cs="Arial"/>
          <w:sz w:val="22"/>
          <w:szCs w:val="24"/>
          <w:lang w:val="en-GB"/>
        </w:rPr>
        <w:t xml:space="preserve">observed </w:t>
      </w:r>
      <w:r w:rsidR="00166048">
        <w:rPr>
          <w:rFonts w:ascii="Arial" w:hAnsi="Arial" w:cs="Arial"/>
          <w:sz w:val="22"/>
          <w:szCs w:val="24"/>
          <w:lang w:val="en-GB"/>
        </w:rPr>
        <w:t xml:space="preserve">for </w:t>
      </w:r>
      <w:r w:rsidR="00224436">
        <w:rPr>
          <w:rFonts w:ascii="Arial" w:hAnsi="Arial" w:cs="Arial"/>
          <w:sz w:val="22"/>
          <w:szCs w:val="24"/>
          <w:lang w:val="en-GB"/>
        </w:rPr>
        <w:t xml:space="preserve">small </w:t>
      </w:r>
      <w:r w:rsidR="00A62BCE">
        <w:rPr>
          <w:rFonts w:ascii="Arial" w:hAnsi="Arial" w:cs="Arial"/>
          <w:sz w:val="22"/>
          <w:szCs w:val="24"/>
          <w:lang w:val="en-GB"/>
        </w:rPr>
        <w:t xml:space="preserve">scale </w:t>
      </w:r>
      <w:r w:rsidR="00AA12F6">
        <w:rPr>
          <w:rFonts w:ascii="Arial" w:hAnsi="Arial" w:cs="Arial"/>
          <w:sz w:val="22"/>
          <w:szCs w:val="24"/>
          <w:lang w:val="en-GB"/>
        </w:rPr>
        <w:t>decommissioning projects</w:t>
      </w:r>
      <w:r w:rsidR="00667C17">
        <w:rPr>
          <w:rFonts w:ascii="Arial" w:hAnsi="Arial" w:cs="Arial"/>
          <w:sz w:val="22"/>
          <w:szCs w:val="24"/>
          <w:lang w:val="en-GB"/>
        </w:rPr>
        <w:t>. T</w:t>
      </w:r>
      <w:r w:rsidR="00BD25A8">
        <w:rPr>
          <w:rFonts w:ascii="Arial" w:hAnsi="Arial" w:cs="Arial"/>
          <w:sz w:val="22"/>
          <w:szCs w:val="24"/>
          <w:lang w:val="en-GB"/>
        </w:rPr>
        <w:t xml:space="preserve">he </w:t>
      </w:r>
      <w:r w:rsidR="002D2AB0">
        <w:rPr>
          <w:rFonts w:ascii="Arial" w:hAnsi="Arial" w:cs="Arial"/>
          <w:sz w:val="22"/>
          <w:szCs w:val="24"/>
          <w:lang w:val="en-GB"/>
        </w:rPr>
        <w:t>benefits</w:t>
      </w:r>
      <w:r w:rsidR="00BD16CF">
        <w:rPr>
          <w:rFonts w:ascii="Arial" w:hAnsi="Arial" w:cs="Arial"/>
          <w:sz w:val="22"/>
          <w:szCs w:val="24"/>
          <w:lang w:val="en-GB"/>
        </w:rPr>
        <w:t xml:space="preserve"> </w:t>
      </w:r>
      <w:r w:rsidR="008521A5">
        <w:rPr>
          <w:rFonts w:ascii="Arial" w:hAnsi="Arial" w:cs="Arial"/>
          <w:sz w:val="22"/>
          <w:szCs w:val="24"/>
          <w:lang w:val="en-GB"/>
        </w:rPr>
        <w:t>of</w:t>
      </w:r>
      <w:r w:rsidR="00BD25A8">
        <w:rPr>
          <w:rFonts w:ascii="Arial" w:hAnsi="Arial" w:cs="Arial"/>
          <w:sz w:val="22"/>
          <w:szCs w:val="24"/>
          <w:lang w:val="en-GB"/>
        </w:rPr>
        <w:t xml:space="preserve"> </w:t>
      </w:r>
      <w:r w:rsidR="00A75A04">
        <w:rPr>
          <w:rFonts w:ascii="Arial" w:hAnsi="Arial" w:cs="Arial"/>
          <w:sz w:val="22"/>
          <w:szCs w:val="24"/>
          <w:lang w:val="en-GB"/>
        </w:rPr>
        <w:t xml:space="preserve">economies of scale </w:t>
      </w:r>
      <w:r w:rsidR="005F679E">
        <w:rPr>
          <w:rFonts w:ascii="Arial" w:hAnsi="Arial" w:cs="Arial"/>
          <w:sz w:val="22"/>
          <w:szCs w:val="24"/>
          <w:lang w:val="en-GB"/>
        </w:rPr>
        <w:t>for larger projects</w:t>
      </w:r>
      <w:r w:rsidR="00667C17">
        <w:rPr>
          <w:rFonts w:ascii="Arial" w:hAnsi="Arial" w:cs="Arial"/>
          <w:sz w:val="22"/>
          <w:szCs w:val="24"/>
          <w:lang w:val="en-GB"/>
        </w:rPr>
        <w:t xml:space="preserve"> is not </w:t>
      </w:r>
      <w:r w:rsidR="00BD16CF">
        <w:rPr>
          <w:rFonts w:ascii="Arial" w:hAnsi="Arial" w:cs="Arial"/>
          <w:sz w:val="22"/>
          <w:szCs w:val="24"/>
          <w:lang w:val="en-GB"/>
        </w:rPr>
        <w:t xml:space="preserve">reflected in </w:t>
      </w:r>
      <w:r w:rsidR="002D2AB0">
        <w:rPr>
          <w:rFonts w:ascii="Arial" w:hAnsi="Arial" w:cs="Arial"/>
          <w:sz w:val="22"/>
          <w:szCs w:val="24"/>
          <w:lang w:val="en-GB"/>
        </w:rPr>
        <w:t>this metric</w:t>
      </w:r>
      <w:r w:rsidR="005F679E">
        <w:rPr>
          <w:rFonts w:ascii="Arial" w:hAnsi="Arial" w:cs="Arial"/>
          <w:sz w:val="22"/>
          <w:szCs w:val="24"/>
          <w:lang w:val="en-GB"/>
        </w:rPr>
        <w:t>.</w:t>
      </w:r>
      <w:r w:rsidR="00765ACD">
        <w:rPr>
          <w:rFonts w:ascii="Arial" w:hAnsi="Arial" w:cs="Arial"/>
          <w:sz w:val="22"/>
          <w:szCs w:val="24"/>
          <w:lang w:val="en-GB"/>
        </w:rPr>
        <w:t xml:space="preserve"> </w:t>
      </w:r>
    </w:p>
    <w:p w14:paraId="4FE00F00" w14:textId="77777777" w:rsidR="00265357" w:rsidRDefault="00265357" w:rsidP="00446C45">
      <w:pPr>
        <w:ind w:left="720"/>
        <w:jc w:val="both"/>
        <w:rPr>
          <w:rFonts w:ascii="Arial" w:hAnsi="Arial" w:cs="Arial"/>
          <w:sz w:val="22"/>
          <w:szCs w:val="24"/>
          <w:lang w:val="en-GB"/>
        </w:rPr>
      </w:pPr>
    </w:p>
    <w:p w14:paraId="41E3455D" w14:textId="77777777" w:rsidR="00265357" w:rsidRPr="001526D2" w:rsidRDefault="00265357" w:rsidP="00446C45">
      <w:pPr>
        <w:jc w:val="both"/>
        <w:rPr>
          <w:rFonts w:ascii="Arial" w:hAnsi="Arial" w:cs="Arial"/>
          <w:sz w:val="22"/>
          <w:szCs w:val="24"/>
          <w:lang w:val="en-GB"/>
        </w:rPr>
      </w:pPr>
      <w:r>
        <w:rPr>
          <w:rFonts w:ascii="Arial" w:hAnsi="Arial" w:cs="Arial"/>
          <w:sz w:val="22"/>
          <w:szCs w:val="24"/>
          <w:lang w:val="en-GB"/>
        </w:rPr>
        <w:t>Sample Size: 41-50</w:t>
      </w:r>
    </w:p>
    <w:p w14:paraId="2C3D2C8F" w14:textId="77777777" w:rsidR="00265357" w:rsidRPr="000551D2" w:rsidRDefault="00265357" w:rsidP="00265357">
      <w:pPr>
        <w:ind w:left="720"/>
        <w:jc w:val="both"/>
        <w:rPr>
          <w:rFonts w:ascii="Arial" w:hAnsi="Arial" w:cs="Arial"/>
          <w:sz w:val="22"/>
          <w:szCs w:val="24"/>
          <w:lang w:val="en-GB"/>
        </w:rPr>
      </w:pPr>
    </w:p>
    <w:p w14:paraId="3BA6E606" w14:textId="28B8A38A" w:rsidR="00074A0A" w:rsidRPr="009E0CFB" w:rsidRDefault="00074A0A" w:rsidP="00074A0A">
      <w:pPr>
        <w:jc w:val="both"/>
        <w:rPr>
          <w:rFonts w:ascii="Arial" w:hAnsi="Arial"/>
          <w:b/>
          <w:sz w:val="22"/>
          <w:szCs w:val="22"/>
          <w:lang w:val="en-GB"/>
        </w:rPr>
      </w:pPr>
      <w:bookmarkStart w:id="120" w:name="_Hlk50042844"/>
      <w:r w:rsidRPr="001526D2">
        <w:rPr>
          <w:rFonts w:ascii="Arial" w:hAnsi="Arial"/>
          <w:b/>
          <w:sz w:val="22"/>
          <w:szCs w:val="22"/>
          <w:lang w:val="en-GB"/>
        </w:rPr>
        <w:t xml:space="preserve">Figure </w:t>
      </w:r>
      <w:r w:rsidR="001526D2" w:rsidRPr="001526D2">
        <w:rPr>
          <w:rFonts w:ascii="Arial" w:hAnsi="Arial"/>
          <w:b/>
          <w:sz w:val="22"/>
          <w:szCs w:val="22"/>
          <w:lang w:val="en-GB"/>
        </w:rPr>
        <w:t>1</w:t>
      </w:r>
      <w:r w:rsidRPr="001526D2">
        <w:rPr>
          <w:rFonts w:ascii="Arial" w:hAnsi="Arial"/>
          <w:b/>
          <w:sz w:val="22"/>
          <w:szCs w:val="22"/>
          <w:lang w:val="en-GB"/>
        </w:rPr>
        <w:t>: Project Management (Total project: &lt;</w:t>
      </w:r>
      <w:r w:rsidR="005A2968">
        <w:rPr>
          <w:rFonts w:ascii="Arial" w:hAnsi="Arial"/>
          <w:b/>
          <w:sz w:val="22"/>
          <w:szCs w:val="22"/>
          <w:lang w:val="en-GB"/>
        </w:rPr>
        <w:t xml:space="preserve"> </w:t>
      </w:r>
      <w:r w:rsidRPr="001526D2">
        <w:rPr>
          <w:rFonts w:ascii="Arial" w:hAnsi="Arial"/>
          <w:b/>
          <w:sz w:val="22"/>
          <w:szCs w:val="22"/>
          <w:lang w:val="en-GB"/>
        </w:rPr>
        <w:t>£150MM)</w:t>
      </w:r>
    </w:p>
    <w:p w14:paraId="0CD34D59" w14:textId="46781CB7" w:rsidR="00074A0A" w:rsidRPr="009E0CFB" w:rsidRDefault="00074A0A" w:rsidP="00074A0A">
      <w:pPr>
        <w:ind w:left="1701"/>
        <w:rPr>
          <w:rFonts w:ascii="Arial" w:hAnsi="Arial" w:cs="Arial"/>
          <w:b/>
          <w:color w:val="FF0000"/>
          <w:sz w:val="22"/>
          <w:szCs w:val="22"/>
          <w:lang w:val="en-GB"/>
        </w:rPr>
      </w:pPr>
    </w:p>
    <w:p w14:paraId="6F179F37" w14:textId="3416DD8D" w:rsidR="00A810C5" w:rsidRPr="001F6984" w:rsidRDefault="00A810C5" w:rsidP="001F6984">
      <w:pPr>
        <w:jc w:val="both"/>
        <w:rPr>
          <w:rFonts w:ascii="Arial" w:hAnsi="Arial" w:cs="Arial"/>
          <w:sz w:val="22"/>
          <w:szCs w:val="24"/>
          <w:lang w:val="en-GB"/>
        </w:rPr>
      </w:pPr>
    </w:p>
    <w:p w14:paraId="0BFDD58E" w14:textId="77777777" w:rsidR="00430524" w:rsidRDefault="00B811C1">
      <w:pPr>
        <w:rPr>
          <w:rFonts w:ascii="Arial" w:hAnsi="Arial"/>
          <w:b/>
          <w:sz w:val="22"/>
          <w:szCs w:val="22"/>
          <w:lang w:val="en-GB"/>
        </w:rPr>
      </w:pPr>
      <w:r>
        <w:rPr>
          <w:rFonts w:ascii="Arial" w:hAnsi="Arial"/>
          <w:b/>
          <w:noProof/>
          <w:sz w:val="22"/>
          <w:szCs w:val="22"/>
          <w:lang w:val="en-GB"/>
        </w:rPr>
        <w:drawing>
          <wp:inline distT="0" distB="0" distL="0" distR="0" wp14:anchorId="07F96DE7" wp14:editId="060D6807">
            <wp:extent cx="3822032" cy="2222723"/>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8325" cy="2261276"/>
                    </a:xfrm>
                    <a:prstGeom prst="rect">
                      <a:avLst/>
                    </a:prstGeom>
                    <a:noFill/>
                  </pic:spPr>
                </pic:pic>
              </a:graphicData>
            </a:graphic>
          </wp:inline>
        </w:drawing>
      </w:r>
      <w:r w:rsidR="00C8535D" w:rsidRPr="00C8535D">
        <w:rPr>
          <w:noProof/>
        </w:rPr>
        <w:drawing>
          <wp:inline distT="0" distB="0" distL="0" distR="0" wp14:anchorId="67A08637" wp14:editId="0CE1E8EE">
            <wp:extent cx="1149350" cy="583252"/>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4049" cy="590711"/>
                    </a:xfrm>
                    <a:prstGeom prst="rect">
                      <a:avLst/>
                    </a:prstGeom>
                    <a:noFill/>
                    <a:ln>
                      <a:noFill/>
                    </a:ln>
                  </pic:spPr>
                </pic:pic>
              </a:graphicData>
            </a:graphic>
          </wp:inline>
        </w:drawing>
      </w:r>
    </w:p>
    <w:p w14:paraId="3E619609" w14:textId="77777777" w:rsidR="00430524" w:rsidRDefault="00430524">
      <w:pPr>
        <w:rPr>
          <w:rFonts w:ascii="Arial" w:hAnsi="Arial"/>
          <w:b/>
          <w:sz w:val="22"/>
          <w:szCs w:val="22"/>
          <w:lang w:val="en-GB"/>
        </w:rPr>
      </w:pPr>
    </w:p>
    <w:p w14:paraId="160F321C" w14:textId="27E917F9" w:rsidR="008861AB" w:rsidRDefault="00E676E0">
      <w:pPr>
        <w:rPr>
          <w:rFonts w:ascii="Arial" w:hAnsi="Arial"/>
          <w:b/>
          <w:sz w:val="22"/>
          <w:szCs w:val="22"/>
          <w:lang w:val="en-GB"/>
        </w:rPr>
      </w:pPr>
      <w:r>
        <w:rPr>
          <w:rFonts w:ascii="Arial" w:hAnsi="Arial"/>
          <w:b/>
          <w:noProof/>
          <w:sz w:val="22"/>
          <w:szCs w:val="22"/>
          <w:lang w:val="en-GB"/>
        </w:rPr>
        <w:t xml:space="preserve"> </w:t>
      </w:r>
      <w:r w:rsidR="00A0747F" w:rsidRPr="00A0747F">
        <w:rPr>
          <w:rFonts w:ascii="Arial" w:hAnsi="Arial"/>
          <w:b/>
          <w:noProof/>
          <w:sz w:val="22"/>
          <w:szCs w:val="22"/>
          <w:lang w:val="en-GB"/>
        </w:rPr>
        <w:drawing>
          <wp:inline distT="0" distB="0" distL="0" distR="0" wp14:anchorId="4F149D17" wp14:editId="51BEB3A3">
            <wp:extent cx="4150493" cy="2544309"/>
            <wp:effectExtent l="0" t="0" r="254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5207" cy="2565589"/>
                    </a:xfrm>
                    <a:prstGeom prst="rect">
                      <a:avLst/>
                    </a:prstGeom>
                  </pic:spPr>
                </pic:pic>
              </a:graphicData>
            </a:graphic>
          </wp:inline>
        </w:drawing>
      </w:r>
    </w:p>
    <w:p w14:paraId="48FFB1E9" w14:textId="77777777" w:rsidR="00694FBC" w:rsidRDefault="00694FBC" w:rsidP="00694FBC">
      <w:pPr>
        <w:rPr>
          <w:rFonts w:ascii="Arial" w:hAnsi="Arial"/>
          <w:b/>
          <w:sz w:val="22"/>
          <w:szCs w:val="22"/>
          <w:lang w:val="en-GB"/>
        </w:rPr>
      </w:pPr>
    </w:p>
    <w:p w14:paraId="3D832CBA" w14:textId="033B09E8" w:rsidR="00526832" w:rsidRPr="00694FBC" w:rsidRDefault="00966853" w:rsidP="001119C7">
      <w:pPr>
        <w:pStyle w:val="Heading1"/>
        <w:jc w:val="left"/>
        <w:rPr>
          <w:b w:val="0"/>
          <w:sz w:val="22"/>
          <w:szCs w:val="22"/>
          <w:lang w:val="en-GB"/>
        </w:rPr>
      </w:pPr>
      <w:bookmarkStart w:id="121" w:name="_Toc85627556"/>
      <w:r w:rsidRPr="001119C7">
        <w:rPr>
          <w:lang w:val="en-GB"/>
        </w:rPr>
        <w:t xml:space="preserve">3.2 </w:t>
      </w:r>
      <w:r w:rsidR="00526832" w:rsidRPr="001119C7">
        <w:rPr>
          <w:lang w:val="en-GB"/>
        </w:rPr>
        <w:t>Projects &gt; £150MM</w:t>
      </w:r>
      <w:bookmarkEnd w:id="121"/>
    </w:p>
    <w:p w14:paraId="47847AD3" w14:textId="77777777" w:rsidR="006A3E78" w:rsidRDefault="006A3E78" w:rsidP="001119C7">
      <w:pPr>
        <w:jc w:val="both"/>
        <w:rPr>
          <w:rFonts w:ascii="Arial" w:hAnsi="Arial" w:cs="Arial"/>
          <w:b/>
          <w:sz w:val="22"/>
          <w:szCs w:val="24"/>
          <w:u w:val="single"/>
          <w:lang w:val="en-GB"/>
        </w:rPr>
      </w:pPr>
    </w:p>
    <w:p w14:paraId="19C7C012" w14:textId="77777777" w:rsidR="00650E1D" w:rsidRPr="00650E1D" w:rsidRDefault="00CE5F17" w:rsidP="001119C7">
      <w:pPr>
        <w:jc w:val="both"/>
        <w:rPr>
          <w:rFonts w:ascii="Arial" w:hAnsi="Arial" w:cs="Arial"/>
          <w:sz w:val="22"/>
          <w:szCs w:val="24"/>
          <w:lang w:val="en-GB"/>
        </w:rPr>
      </w:pPr>
      <w:r w:rsidRPr="0075589E">
        <w:rPr>
          <w:rFonts w:ascii="Arial" w:hAnsi="Arial" w:cs="Arial"/>
          <w:sz w:val="22"/>
          <w:szCs w:val="24"/>
          <w:lang w:val="en-GB"/>
        </w:rPr>
        <w:t xml:space="preserve">Project management costs for </w:t>
      </w:r>
      <w:r w:rsidR="004607C0" w:rsidRPr="0075589E">
        <w:rPr>
          <w:rFonts w:ascii="Arial" w:hAnsi="Arial" w:cs="Arial"/>
          <w:sz w:val="22"/>
          <w:szCs w:val="24"/>
          <w:lang w:val="en-GB"/>
        </w:rPr>
        <w:t xml:space="preserve">projects &gt; £150MM </w:t>
      </w:r>
      <w:r w:rsidR="00A65B56" w:rsidRPr="0075589E">
        <w:rPr>
          <w:rFonts w:ascii="Arial" w:hAnsi="Arial" w:cs="Arial"/>
          <w:sz w:val="22"/>
          <w:szCs w:val="24"/>
          <w:lang w:val="en-GB"/>
        </w:rPr>
        <w:t xml:space="preserve">consistently </w:t>
      </w:r>
      <w:r w:rsidR="007E698B" w:rsidRPr="0075589E">
        <w:rPr>
          <w:rFonts w:ascii="Arial" w:hAnsi="Arial" w:cs="Arial"/>
          <w:sz w:val="22"/>
          <w:szCs w:val="24"/>
          <w:lang w:val="en-GB"/>
        </w:rPr>
        <w:t>reflect a narrow range</w:t>
      </w:r>
      <w:r w:rsidR="00DD2637" w:rsidRPr="0075589E">
        <w:rPr>
          <w:rFonts w:ascii="Arial" w:hAnsi="Arial" w:cs="Arial"/>
          <w:sz w:val="22"/>
          <w:szCs w:val="24"/>
          <w:lang w:val="en-GB"/>
        </w:rPr>
        <w:t xml:space="preserve">. </w:t>
      </w:r>
    </w:p>
    <w:p w14:paraId="7507260A" w14:textId="77777777" w:rsidR="00745CB7" w:rsidRPr="0075589E" w:rsidRDefault="00745CB7" w:rsidP="001119C7">
      <w:pPr>
        <w:jc w:val="both"/>
        <w:rPr>
          <w:rFonts w:ascii="Arial" w:hAnsi="Arial" w:cs="Arial"/>
          <w:sz w:val="22"/>
          <w:szCs w:val="24"/>
          <w:lang w:val="en-GB"/>
        </w:rPr>
      </w:pPr>
    </w:p>
    <w:p w14:paraId="16CB40F6" w14:textId="0F6525F0" w:rsidR="003F4618" w:rsidRPr="0075589E" w:rsidRDefault="003F4618" w:rsidP="001119C7">
      <w:pPr>
        <w:jc w:val="both"/>
        <w:rPr>
          <w:rFonts w:ascii="Arial" w:hAnsi="Arial" w:cs="Arial"/>
          <w:sz w:val="22"/>
          <w:szCs w:val="24"/>
          <w:lang w:val="en-GB"/>
        </w:rPr>
      </w:pPr>
      <w:r>
        <w:rPr>
          <w:rFonts w:ascii="Arial" w:hAnsi="Arial" w:cs="Arial"/>
          <w:sz w:val="22"/>
          <w:szCs w:val="24"/>
          <w:lang w:val="en-GB"/>
        </w:rPr>
        <w:t>Sample Size:</w:t>
      </w:r>
      <w:r w:rsidR="001C55CA" w:rsidRPr="001C55CA">
        <w:rPr>
          <w:rFonts w:ascii="Arial" w:hAnsi="Arial" w:cs="Arial"/>
          <w:sz w:val="22"/>
          <w:szCs w:val="24"/>
          <w:lang w:val="en-GB"/>
        </w:rPr>
        <w:t xml:space="preserve"> 5-10</w:t>
      </w:r>
    </w:p>
    <w:p w14:paraId="75EDC3F3" w14:textId="77777777" w:rsidR="00526832" w:rsidRPr="007775AB" w:rsidRDefault="00526832" w:rsidP="00074A0A">
      <w:pPr>
        <w:jc w:val="both"/>
        <w:rPr>
          <w:rFonts w:ascii="Arial" w:hAnsi="Arial" w:cs="Arial"/>
          <w:sz w:val="22"/>
          <w:szCs w:val="24"/>
          <w:lang w:val="en-GB"/>
        </w:rPr>
      </w:pPr>
    </w:p>
    <w:p w14:paraId="7895B20D" w14:textId="3E82530B" w:rsidR="00074A0A" w:rsidRPr="009E0CFB" w:rsidRDefault="00074A0A" w:rsidP="00074A0A">
      <w:pPr>
        <w:jc w:val="both"/>
        <w:rPr>
          <w:rFonts w:ascii="Arial" w:hAnsi="Arial"/>
          <w:b/>
          <w:sz w:val="22"/>
          <w:szCs w:val="22"/>
          <w:lang w:val="en-GB"/>
        </w:rPr>
      </w:pPr>
      <w:r w:rsidRPr="009E0CFB">
        <w:rPr>
          <w:rFonts w:ascii="Arial" w:hAnsi="Arial"/>
          <w:b/>
          <w:sz w:val="22"/>
          <w:szCs w:val="22"/>
          <w:lang w:val="en-GB"/>
        </w:rPr>
        <w:t xml:space="preserve">Figure </w:t>
      </w:r>
      <w:r w:rsidR="001526D2">
        <w:rPr>
          <w:rFonts w:ascii="Arial" w:hAnsi="Arial"/>
          <w:b/>
          <w:sz w:val="22"/>
          <w:szCs w:val="22"/>
          <w:lang w:val="en-GB"/>
        </w:rPr>
        <w:t>2</w:t>
      </w:r>
      <w:r w:rsidRPr="009E0CFB">
        <w:rPr>
          <w:rFonts w:ascii="Arial" w:hAnsi="Arial"/>
          <w:b/>
          <w:sz w:val="22"/>
          <w:szCs w:val="22"/>
          <w:lang w:val="en-GB"/>
        </w:rPr>
        <w:t xml:space="preserve">: </w:t>
      </w:r>
      <w:r>
        <w:rPr>
          <w:rFonts w:ascii="Arial" w:hAnsi="Arial"/>
          <w:b/>
          <w:sz w:val="22"/>
          <w:szCs w:val="22"/>
          <w:lang w:val="en-GB"/>
        </w:rPr>
        <w:t>Project Management (Total project: &gt;</w:t>
      </w:r>
      <w:r w:rsidR="005A2968">
        <w:rPr>
          <w:rFonts w:ascii="Arial" w:hAnsi="Arial"/>
          <w:b/>
          <w:sz w:val="22"/>
          <w:szCs w:val="22"/>
          <w:lang w:val="en-GB"/>
        </w:rPr>
        <w:t xml:space="preserve"> </w:t>
      </w:r>
      <w:r>
        <w:rPr>
          <w:rFonts w:ascii="Arial" w:hAnsi="Arial"/>
          <w:b/>
          <w:sz w:val="22"/>
          <w:szCs w:val="22"/>
          <w:lang w:val="en-GB"/>
        </w:rPr>
        <w:t>£150MM)</w:t>
      </w:r>
    </w:p>
    <w:p w14:paraId="54E33886" w14:textId="772FD2BA" w:rsidR="00074A0A" w:rsidRDefault="00074A0A" w:rsidP="00C06193">
      <w:pPr>
        <w:ind w:left="1701"/>
        <w:rPr>
          <w:rFonts w:ascii="Arial" w:hAnsi="Arial" w:cs="Arial"/>
          <w:b/>
          <w:color w:val="FF0000"/>
          <w:sz w:val="22"/>
          <w:szCs w:val="22"/>
          <w:lang w:val="en-GB"/>
        </w:rPr>
      </w:pPr>
    </w:p>
    <w:p w14:paraId="20813B1B" w14:textId="5D0B7068" w:rsidR="00D803C2" w:rsidRDefault="007A0A8B" w:rsidP="008947FB">
      <w:pPr>
        <w:jc w:val="both"/>
        <w:rPr>
          <w:rFonts w:ascii="Arial" w:hAnsi="Arial" w:cs="Arial"/>
          <w:b/>
          <w:color w:val="FF0000"/>
          <w:sz w:val="22"/>
          <w:szCs w:val="22"/>
          <w:lang w:val="en-GB"/>
        </w:rPr>
      </w:pPr>
      <w:r>
        <w:rPr>
          <w:rFonts w:ascii="Arial" w:hAnsi="Arial" w:cs="Arial"/>
          <w:b/>
          <w:noProof/>
          <w:color w:val="FF0000"/>
          <w:sz w:val="22"/>
          <w:szCs w:val="22"/>
          <w:lang w:val="en-GB"/>
        </w:rPr>
        <w:drawing>
          <wp:inline distT="0" distB="0" distL="0" distR="0" wp14:anchorId="0C7522E3" wp14:editId="53FC71C7">
            <wp:extent cx="4611927" cy="2705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3702" cy="2712007"/>
                    </a:xfrm>
                    <a:prstGeom prst="rect">
                      <a:avLst/>
                    </a:prstGeom>
                    <a:noFill/>
                  </pic:spPr>
                </pic:pic>
              </a:graphicData>
            </a:graphic>
          </wp:inline>
        </w:drawing>
      </w:r>
      <w:r w:rsidR="00035191" w:rsidRPr="00035191">
        <w:rPr>
          <w:rFonts w:ascii="Arial" w:hAnsi="Arial" w:cs="Arial"/>
          <w:b/>
          <w:color w:val="FF0000"/>
          <w:sz w:val="22"/>
          <w:szCs w:val="22"/>
          <w:lang w:val="en-GB"/>
        </w:rPr>
        <w:t xml:space="preserve"> </w:t>
      </w:r>
      <w:r w:rsidR="00035191" w:rsidRPr="00035191">
        <w:rPr>
          <w:noProof/>
        </w:rPr>
        <w:drawing>
          <wp:inline distT="0" distB="0" distL="0" distR="0" wp14:anchorId="3520FB67" wp14:editId="2BE8A1D8">
            <wp:extent cx="1276350" cy="6413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641350"/>
                    </a:xfrm>
                    <a:prstGeom prst="rect">
                      <a:avLst/>
                    </a:prstGeom>
                    <a:noFill/>
                    <a:ln>
                      <a:noFill/>
                    </a:ln>
                  </pic:spPr>
                </pic:pic>
              </a:graphicData>
            </a:graphic>
          </wp:inline>
        </w:drawing>
      </w:r>
    </w:p>
    <w:bookmarkEnd w:id="120"/>
    <w:p w14:paraId="2E51DF70" w14:textId="65A6D9E2" w:rsidR="00C06193" w:rsidRDefault="00C06193" w:rsidP="00D803C2">
      <w:pPr>
        <w:jc w:val="center"/>
        <w:rPr>
          <w:rFonts w:ascii="Arial" w:hAnsi="Arial" w:cs="Arial"/>
          <w:sz w:val="22"/>
          <w:szCs w:val="24"/>
          <w:u w:val="single"/>
          <w:lang w:val="en-GB"/>
        </w:rPr>
      </w:pPr>
    </w:p>
    <w:p w14:paraId="53E3206B" w14:textId="413AF745" w:rsidR="00074A0A" w:rsidRDefault="00074A0A" w:rsidP="00074A0A">
      <w:pPr>
        <w:rPr>
          <w:rFonts w:ascii="Arial" w:hAnsi="Arial" w:cs="Arial"/>
          <w:sz w:val="22"/>
          <w:szCs w:val="24"/>
          <w:u w:val="single"/>
          <w:lang w:val="en-GB"/>
        </w:rPr>
      </w:pPr>
    </w:p>
    <w:p w14:paraId="0C906251" w14:textId="48E7637A" w:rsidR="0009693F" w:rsidRDefault="00602899">
      <w:pPr>
        <w:rPr>
          <w:rFonts w:ascii="Arial" w:hAnsi="Arial" w:cs="Arial"/>
          <w:sz w:val="22"/>
          <w:szCs w:val="24"/>
          <w:u w:val="single"/>
          <w:lang w:val="en-GB"/>
        </w:rPr>
      </w:pPr>
      <w:r>
        <w:rPr>
          <w:rFonts w:ascii="Arial" w:hAnsi="Arial" w:cs="Arial"/>
          <w:noProof/>
          <w:sz w:val="22"/>
          <w:szCs w:val="24"/>
          <w:lang w:val="en-GB"/>
        </w:rPr>
        <w:t xml:space="preserve"> </w:t>
      </w:r>
      <w:r w:rsidR="00D8485C" w:rsidRPr="00D8485C">
        <w:rPr>
          <w:rFonts w:ascii="Arial" w:hAnsi="Arial" w:cs="Arial"/>
          <w:noProof/>
          <w:sz w:val="22"/>
          <w:szCs w:val="24"/>
          <w:lang w:val="en-GB"/>
        </w:rPr>
        <w:drawing>
          <wp:inline distT="0" distB="0" distL="0" distR="0" wp14:anchorId="75385CD9" wp14:editId="397F5028">
            <wp:extent cx="4595795" cy="28606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25748" cy="2879291"/>
                    </a:xfrm>
                    <a:prstGeom prst="rect">
                      <a:avLst/>
                    </a:prstGeom>
                  </pic:spPr>
                </pic:pic>
              </a:graphicData>
            </a:graphic>
          </wp:inline>
        </w:drawing>
      </w:r>
      <w:r w:rsidR="0009693F">
        <w:rPr>
          <w:rFonts w:ascii="Arial" w:hAnsi="Arial" w:cs="Arial"/>
          <w:sz w:val="22"/>
          <w:szCs w:val="24"/>
          <w:u w:val="single"/>
          <w:lang w:val="en-GB"/>
        </w:rPr>
        <w:br w:type="page"/>
      </w:r>
    </w:p>
    <w:p w14:paraId="6C2FD772" w14:textId="0E2CE397" w:rsidR="00EC7C73" w:rsidRPr="00EC7C73" w:rsidRDefault="00074A0A" w:rsidP="009019DC">
      <w:pPr>
        <w:pStyle w:val="Heading1"/>
        <w:numPr>
          <w:ilvl w:val="0"/>
          <w:numId w:val="40"/>
        </w:numPr>
        <w:spacing w:after="120"/>
        <w:jc w:val="left"/>
        <w:rPr>
          <w:rFonts w:cs="Arial"/>
          <w:b w:val="0"/>
          <w:sz w:val="22"/>
          <w:u w:val="single"/>
        </w:rPr>
      </w:pPr>
      <w:bookmarkStart w:id="122" w:name="_Toc85627557"/>
      <w:r w:rsidRPr="009019DC">
        <w:rPr>
          <w:color w:val="0070C0"/>
          <w:lang w:val="en-GB"/>
        </w:rPr>
        <w:t xml:space="preserve">Platform </w:t>
      </w:r>
      <w:r w:rsidR="008273DB" w:rsidRPr="009019DC">
        <w:rPr>
          <w:color w:val="0070C0"/>
          <w:lang w:val="en-GB"/>
        </w:rPr>
        <w:t xml:space="preserve">Post-CoP </w:t>
      </w:r>
      <w:r w:rsidRPr="009019DC">
        <w:rPr>
          <w:color w:val="0070C0"/>
          <w:lang w:val="en-GB"/>
        </w:rPr>
        <w:t>Running Costs</w:t>
      </w:r>
      <w:bookmarkEnd w:id="122"/>
      <w:r w:rsidRPr="00C40698">
        <w:rPr>
          <w:rFonts w:cs="Arial"/>
          <w:sz w:val="22"/>
          <w:u w:val="single"/>
        </w:rPr>
        <w:t xml:space="preserve">  </w:t>
      </w:r>
    </w:p>
    <w:p w14:paraId="388AE0AC" w14:textId="77777777" w:rsidR="00C60D31" w:rsidRPr="00C60D31" w:rsidRDefault="00C60D31" w:rsidP="003E3B87">
      <w:pPr>
        <w:jc w:val="both"/>
        <w:rPr>
          <w:rFonts w:ascii="Arial" w:hAnsi="Arial" w:cs="Arial"/>
          <w:b/>
          <w:sz w:val="22"/>
          <w:u w:val="single"/>
        </w:rPr>
      </w:pPr>
    </w:p>
    <w:p w14:paraId="6321B133" w14:textId="114C0804" w:rsidR="003E3B87" w:rsidRPr="003E3B87" w:rsidRDefault="003E3B87" w:rsidP="003E3B87">
      <w:pPr>
        <w:jc w:val="both"/>
        <w:rPr>
          <w:rFonts w:ascii="Arial" w:hAnsi="Arial" w:cs="Arial"/>
          <w:b/>
          <w:sz w:val="22"/>
          <w:u w:val="single"/>
        </w:rPr>
      </w:pPr>
      <w:r w:rsidRPr="003E3B87">
        <w:rPr>
          <w:noProof/>
        </w:rPr>
        <w:drawing>
          <wp:inline distT="0" distB="0" distL="0" distR="0" wp14:anchorId="2CDC3B39" wp14:editId="0D0022FC">
            <wp:extent cx="474562" cy="438311"/>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7294" cy="450070"/>
                    </a:xfrm>
                    <a:prstGeom prst="rect">
                      <a:avLst/>
                    </a:prstGeom>
                  </pic:spPr>
                </pic:pic>
              </a:graphicData>
            </a:graphic>
          </wp:inline>
        </w:drawing>
      </w:r>
    </w:p>
    <w:p w14:paraId="14701DB5" w14:textId="77777777" w:rsidR="00CE1E8A" w:rsidRDefault="00CE1E8A" w:rsidP="00074A0A">
      <w:pPr>
        <w:jc w:val="both"/>
        <w:rPr>
          <w:rFonts w:ascii="Arial" w:hAnsi="Arial" w:cs="Arial"/>
          <w:b/>
          <w:sz w:val="22"/>
          <w:szCs w:val="24"/>
          <w:u w:val="single"/>
          <w:lang w:val="en-GB"/>
        </w:rPr>
      </w:pPr>
    </w:p>
    <w:p w14:paraId="1E941055" w14:textId="2603E12A" w:rsidR="003F0E6C" w:rsidRDefault="00685B55" w:rsidP="00074A0A">
      <w:pPr>
        <w:jc w:val="both"/>
        <w:rPr>
          <w:rFonts w:ascii="Arial" w:hAnsi="Arial" w:cs="Arial"/>
          <w:sz w:val="22"/>
          <w:szCs w:val="24"/>
          <w:lang w:val="en-GB"/>
        </w:rPr>
      </w:pPr>
      <w:r w:rsidRPr="00685B55">
        <w:rPr>
          <w:rFonts w:ascii="Arial" w:hAnsi="Arial" w:cs="Arial"/>
          <w:sz w:val="22"/>
          <w:szCs w:val="24"/>
          <w:lang w:val="en-GB"/>
        </w:rPr>
        <w:t xml:space="preserve">Delays in achieving cold stack due </w:t>
      </w:r>
      <w:r w:rsidR="00E73337">
        <w:rPr>
          <w:rFonts w:ascii="Arial" w:hAnsi="Arial" w:cs="Arial"/>
          <w:sz w:val="22"/>
          <w:szCs w:val="24"/>
          <w:lang w:val="en-GB"/>
        </w:rPr>
        <w:t xml:space="preserve">in part </w:t>
      </w:r>
      <w:r w:rsidRPr="00685B55">
        <w:rPr>
          <w:rFonts w:ascii="Arial" w:hAnsi="Arial" w:cs="Arial"/>
          <w:sz w:val="22"/>
          <w:szCs w:val="24"/>
          <w:lang w:val="en-GB"/>
        </w:rPr>
        <w:t xml:space="preserve">to </w:t>
      </w:r>
      <w:r w:rsidR="009C4112">
        <w:rPr>
          <w:rFonts w:ascii="Arial" w:hAnsi="Arial" w:cs="Arial"/>
          <w:sz w:val="22"/>
          <w:szCs w:val="24"/>
          <w:lang w:val="en-GB"/>
        </w:rPr>
        <w:t xml:space="preserve">the </w:t>
      </w:r>
      <w:r w:rsidRPr="00685B55">
        <w:rPr>
          <w:rFonts w:ascii="Arial" w:hAnsi="Arial" w:cs="Arial"/>
          <w:sz w:val="22"/>
          <w:szCs w:val="24"/>
          <w:lang w:val="en-GB"/>
        </w:rPr>
        <w:t xml:space="preserve">Covid-19 </w:t>
      </w:r>
      <w:r w:rsidR="009C4112">
        <w:rPr>
          <w:rFonts w:ascii="Arial" w:hAnsi="Arial" w:cs="Arial"/>
          <w:sz w:val="22"/>
          <w:szCs w:val="24"/>
          <w:lang w:val="en-GB"/>
        </w:rPr>
        <w:t>pandemic</w:t>
      </w:r>
      <w:r w:rsidRPr="00685B55">
        <w:rPr>
          <w:rFonts w:ascii="Arial" w:hAnsi="Arial" w:cs="Arial"/>
          <w:sz w:val="22"/>
          <w:szCs w:val="24"/>
          <w:lang w:val="en-GB"/>
        </w:rPr>
        <w:t xml:space="preserve"> have had a </w:t>
      </w:r>
      <w:r w:rsidR="004324BE">
        <w:rPr>
          <w:rFonts w:ascii="Arial" w:hAnsi="Arial" w:cs="Arial"/>
          <w:sz w:val="22"/>
          <w:szCs w:val="24"/>
          <w:lang w:val="en-GB"/>
        </w:rPr>
        <w:t xml:space="preserve">negative </w:t>
      </w:r>
      <w:r w:rsidRPr="00685B55">
        <w:rPr>
          <w:rFonts w:ascii="Arial" w:hAnsi="Arial" w:cs="Arial"/>
          <w:sz w:val="22"/>
          <w:szCs w:val="24"/>
          <w:lang w:val="en-GB"/>
        </w:rPr>
        <w:t>bearing on this metric</w:t>
      </w:r>
      <w:r w:rsidR="00E73337">
        <w:rPr>
          <w:rFonts w:ascii="Arial" w:hAnsi="Arial" w:cs="Arial"/>
          <w:sz w:val="22"/>
          <w:szCs w:val="24"/>
          <w:lang w:val="en-GB"/>
        </w:rPr>
        <w:t>.</w:t>
      </w:r>
    </w:p>
    <w:p w14:paraId="2660847B" w14:textId="77777777" w:rsidR="00CE36EF" w:rsidRDefault="00CE36EF" w:rsidP="00074A0A">
      <w:pPr>
        <w:jc w:val="both"/>
        <w:rPr>
          <w:rFonts w:ascii="Arial" w:hAnsi="Arial" w:cs="Arial"/>
          <w:sz w:val="22"/>
          <w:szCs w:val="24"/>
          <w:lang w:val="en-GB"/>
        </w:rPr>
      </w:pPr>
    </w:p>
    <w:p w14:paraId="52D287B1" w14:textId="16A9C311" w:rsidR="00CE36EF" w:rsidRPr="00685B55" w:rsidRDefault="00CE36EF" w:rsidP="00074A0A">
      <w:pPr>
        <w:jc w:val="both"/>
        <w:rPr>
          <w:rFonts w:ascii="Arial" w:hAnsi="Arial" w:cs="Arial"/>
          <w:sz w:val="22"/>
          <w:szCs w:val="24"/>
          <w:lang w:val="en-GB"/>
        </w:rPr>
      </w:pPr>
      <w:r w:rsidRPr="003977A3">
        <w:rPr>
          <w:rFonts w:ascii="Arial" w:hAnsi="Arial" w:cs="Arial"/>
          <w:sz w:val="22"/>
          <w:szCs w:val="24"/>
          <w:lang w:val="en-GB"/>
        </w:rPr>
        <w:t>To complement the post C</w:t>
      </w:r>
      <w:r w:rsidR="00917527" w:rsidRPr="003977A3">
        <w:rPr>
          <w:rFonts w:ascii="Arial" w:hAnsi="Arial" w:cs="Arial"/>
          <w:sz w:val="22"/>
          <w:szCs w:val="24"/>
          <w:lang w:val="en-GB"/>
        </w:rPr>
        <w:t>o</w:t>
      </w:r>
      <w:r w:rsidRPr="003977A3">
        <w:rPr>
          <w:rFonts w:ascii="Arial" w:hAnsi="Arial" w:cs="Arial"/>
          <w:sz w:val="22"/>
          <w:szCs w:val="24"/>
          <w:lang w:val="en-GB"/>
        </w:rPr>
        <w:t xml:space="preserve">P </w:t>
      </w:r>
      <w:r w:rsidR="00917527" w:rsidRPr="003977A3">
        <w:rPr>
          <w:rFonts w:ascii="Arial" w:hAnsi="Arial" w:cs="Arial"/>
          <w:sz w:val="22"/>
          <w:szCs w:val="24"/>
          <w:lang w:val="en-GB"/>
        </w:rPr>
        <w:t xml:space="preserve">running cost </w:t>
      </w:r>
      <w:r w:rsidRPr="003977A3">
        <w:rPr>
          <w:rFonts w:ascii="Arial" w:hAnsi="Arial" w:cs="Arial"/>
          <w:sz w:val="22"/>
          <w:szCs w:val="24"/>
          <w:lang w:val="en-GB"/>
        </w:rPr>
        <w:t xml:space="preserve">metric an additional (new) benchmark </w:t>
      </w:r>
      <w:r w:rsidR="00917527" w:rsidRPr="003977A3">
        <w:rPr>
          <w:rFonts w:ascii="Arial" w:hAnsi="Arial" w:cs="Arial"/>
          <w:sz w:val="22"/>
          <w:szCs w:val="24"/>
          <w:lang w:val="en-GB"/>
        </w:rPr>
        <w:t>of time (years) from C</w:t>
      </w:r>
      <w:r w:rsidR="00E574CD" w:rsidRPr="003977A3">
        <w:rPr>
          <w:rFonts w:ascii="Arial" w:hAnsi="Arial" w:cs="Arial"/>
          <w:sz w:val="22"/>
          <w:szCs w:val="24"/>
          <w:lang w:val="en-GB"/>
        </w:rPr>
        <w:t>o</w:t>
      </w:r>
      <w:r w:rsidR="00917527" w:rsidRPr="003977A3">
        <w:rPr>
          <w:rFonts w:ascii="Arial" w:hAnsi="Arial" w:cs="Arial"/>
          <w:sz w:val="22"/>
          <w:szCs w:val="24"/>
          <w:lang w:val="en-GB"/>
        </w:rPr>
        <w:t xml:space="preserve">P to cold stack status </w:t>
      </w:r>
      <w:r w:rsidRPr="003977A3">
        <w:rPr>
          <w:rFonts w:ascii="Arial" w:hAnsi="Arial" w:cs="Arial"/>
          <w:sz w:val="22"/>
          <w:szCs w:val="24"/>
          <w:lang w:val="en-GB"/>
        </w:rPr>
        <w:t xml:space="preserve">has been </w:t>
      </w:r>
      <w:r w:rsidR="00E574CD" w:rsidRPr="003977A3">
        <w:rPr>
          <w:rFonts w:ascii="Arial" w:hAnsi="Arial" w:cs="Arial"/>
          <w:sz w:val="22"/>
          <w:szCs w:val="24"/>
          <w:lang w:val="en-GB"/>
        </w:rPr>
        <w:t>developed</w:t>
      </w:r>
      <w:r w:rsidR="00912814" w:rsidRPr="003977A3">
        <w:rPr>
          <w:rFonts w:ascii="Arial" w:hAnsi="Arial" w:cs="Arial"/>
          <w:sz w:val="22"/>
          <w:szCs w:val="24"/>
          <w:lang w:val="en-GB"/>
        </w:rPr>
        <w:t xml:space="preserve"> (</w:t>
      </w:r>
      <w:r w:rsidR="00E574CD" w:rsidRPr="003977A3">
        <w:rPr>
          <w:rFonts w:ascii="Arial" w:hAnsi="Arial" w:cs="Arial"/>
          <w:sz w:val="22"/>
          <w:szCs w:val="24"/>
          <w:lang w:val="en-GB"/>
        </w:rPr>
        <w:t>section 4.</w:t>
      </w:r>
      <w:r w:rsidR="003977A3" w:rsidRPr="003977A3">
        <w:rPr>
          <w:rFonts w:ascii="Arial" w:hAnsi="Arial" w:cs="Arial"/>
          <w:sz w:val="22"/>
          <w:szCs w:val="24"/>
          <w:lang w:val="en-GB"/>
        </w:rPr>
        <w:t>5</w:t>
      </w:r>
      <w:r w:rsidR="00E574CD" w:rsidRPr="003977A3">
        <w:rPr>
          <w:rFonts w:ascii="Arial" w:hAnsi="Arial" w:cs="Arial"/>
          <w:sz w:val="22"/>
          <w:szCs w:val="24"/>
          <w:lang w:val="en-GB"/>
        </w:rPr>
        <w:t>)</w:t>
      </w:r>
      <w:r w:rsidR="00E574CD">
        <w:rPr>
          <w:rFonts w:ascii="Arial" w:hAnsi="Arial" w:cs="Arial"/>
          <w:sz w:val="22"/>
          <w:szCs w:val="24"/>
          <w:lang w:val="en-GB"/>
        </w:rPr>
        <w:t>.</w:t>
      </w:r>
    </w:p>
    <w:p w14:paraId="3F0BB942" w14:textId="0A8FBD60" w:rsidR="00520878" w:rsidRPr="00C40698" w:rsidRDefault="009019DC" w:rsidP="00F1757D">
      <w:pPr>
        <w:pStyle w:val="Heading1"/>
        <w:jc w:val="left"/>
        <w:rPr>
          <w:lang w:val="en-GB"/>
        </w:rPr>
      </w:pPr>
      <w:bookmarkStart w:id="123" w:name="_Toc85627558"/>
      <w:r>
        <w:rPr>
          <w:lang w:val="en-GB"/>
        </w:rPr>
        <w:t xml:space="preserve">4.1 </w:t>
      </w:r>
      <w:r w:rsidR="00520878" w:rsidRPr="00C40698">
        <w:rPr>
          <w:lang w:val="en-GB"/>
        </w:rPr>
        <w:t>Northern North Sea (</w:t>
      </w:r>
      <w:r w:rsidR="00074A0A" w:rsidRPr="00C40698">
        <w:rPr>
          <w:lang w:val="en-GB"/>
        </w:rPr>
        <w:t>NNS</w:t>
      </w:r>
      <w:r w:rsidR="00520878" w:rsidRPr="00C40698">
        <w:rPr>
          <w:lang w:val="en-GB"/>
        </w:rPr>
        <w:t>)</w:t>
      </w:r>
      <w:r w:rsidR="008E3C3A" w:rsidRPr="00C40698">
        <w:rPr>
          <w:lang w:val="en-GB"/>
        </w:rPr>
        <w:t xml:space="preserve"> &amp; </w:t>
      </w:r>
      <w:r w:rsidR="00520878" w:rsidRPr="00C40698">
        <w:rPr>
          <w:lang w:val="en-GB"/>
        </w:rPr>
        <w:t>Central North Sea (</w:t>
      </w:r>
      <w:r w:rsidR="008E3C3A" w:rsidRPr="00C40698">
        <w:rPr>
          <w:lang w:val="en-GB"/>
        </w:rPr>
        <w:t>CNS</w:t>
      </w:r>
      <w:r w:rsidR="00520878" w:rsidRPr="00C40698">
        <w:rPr>
          <w:lang w:val="en-GB"/>
        </w:rPr>
        <w:t>)</w:t>
      </w:r>
      <w:bookmarkEnd w:id="123"/>
    </w:p>
    <w:p w14:paraId="004BF8DA" w14:textId="77777777" w:rsidR="00520878" w:rsidRDefault="00520878" w:rsidP="00074A0A">
      <w:pPr>
        <w:jc w:val="both"/>
        <w:rPr>
          <w:rFonts w:ascii="Arial" w:hAnsi="Arial" w:cs="Arial"/>
          <w:sz w:val="22"/>
          <w:szCs w:val="24"/>
          <w:lang w:val="en-GB"/>
        </w:rPr>
      </w:pPr>
    </w:p>
    <w:p w14:paraId="3A15BCAF" w14:textId="5B83C395" w:rsidR="00B15D12" w:rsidRPr="00B15D12" w:rsidRDefault="00BD2D56" w:rsidP="00F1757D">
      <w:pPr>
        <w:jc w:val="both"/>
        <w:rPr>
          <w:rFonts w:ascii="Arial" w:hAnsi="Arial" w:cs="Arial"/>
          <w:sz w:val="22"/>
          <w:szCs w:val="24"/>
          <w:lang w:val="en-GB"/>
        </w:rPr>
      </w:pPr>
      <w:r w:rsidRPr="009E0CFB">
        <w:rPr>
          <w:rFonts w:ascii="Arial" w:hAnsi="Arial" w:cs="Arial"/>
          <w:sz w:val="22"/>
          <w:szCs w:val="24"/>
          <w:lang w:val="en-GB"/>
        </w:rPr>
        <w:t xml:space="preserve">Due to the infrequent and multi-calendar-year nature of this </w:t>
      </w:r>
      <w:r w:rsidR="005A489C">
        <w:rPr>
          <w:rFonts w:ascii="Arial" w:hAnsi="Arial" w:cs="Arial"/>
          <w:sz w:val="22"/>
          <w:szCs w:val="24"/>
          <w:lang w:val="en-GB"/>
        </w:rPr>
        <w:t>metric</w:t>
      </w:r>
      <w:r w:rsidR="00C34593">
        <w:rPr>
          <w:rFonts w:ascii="Arial" w:hAnsi="Arial" w:cs="Arial"/>
          <w:sz w:val="22"/>
          <w:szCs w:val="24"/>
          <w:lang w:val="en-GB"/>
        </w:rPr>
        <w:t xml:space="preserve"> no </w:t>
      </w:r>
      <w:r w:rsidR="00D24CFA">
        <w:rPr>
          <w:rFonts w:ascii="Arial" w:hAnsi="Arial" w:cs="Arial"/>
          <w:sz w:val="22"/>
          <w:szCs w:val="24"/>
          <w:lang w:val="en-GB"/>
        </w:rPr>
        <w:t xml:space="preserve">material change </w:t>
      </w:r>
      <w:r w:rsidR="00834E58">
        <w:rPr>
          <w:rFonts w:ascii="Arial" w:hAnsi="Arial" w:cs="Arial"/>
          <w:sz w:val="22"/>
          <w:szCs w:val="24"/>
          <w:lang w:val="en-GB"/>
        </w:rPr>
        <w:t xml:space="preserve">is </w:t>
      </w:r>
      <w:r w:rsidR="00D8082E">
        <w:rPr>
          <w:rFonts w:ascii="Arial" w:hAnsi="Arial" w:cs="Arial"/>
          <w:sz w:val="22"/>
          <w:szCs w:val="24"/>
          <w:lang w:val="en-GB"/>
        </w:rPr>
        <w:t>observed</w:t>
      </w:r>
      <w:r w:rsidR="00F678D4">
        <w:rPr>
          <w:rFonts w:ascii="Arial" w:hAnsi="Arial" w:cs="Arial"/>
          <w:sz w:val="22"/>
          <w:szCs w:val="24"/>
          <w:lang w:val="en-GB"/>
        </w:rPr>
        <w:t>.</w:t>
      </w:r>
      <w:r w:rsidR="00C02F43">
        <w:rPr>
          <w:rFonts w:ascii="Arial" w:hAnsi="Arial" w:cs="Arial"/>
          <w:sz w:val="22"/>
          <w:szCs w:val="24"/>
          <w:lang w:val="en-GB"/>
        </w:rPr>
        <w:t xml:space="preserve"> Instances of early </w:t>
      </w:r>
      <w:r w:rsidR="00847291">
        <w:rPr>
          <w:rFonts w:ascii="Arial" w:hAnsi="Arial" w:cs="Arial"/>
          <w:sz w:val="22"/>
          <w:szCs w:val="24"/>
          <w:lang w:val="en-GB"/>
        </w:rPr>
        <w:t xml:space="preserve">and unplanned </w:t>
      </w:r>
      <w:r w:rsidR="00C02F43">
        <w:rPr>
          <w:rFonts w:ascii="Arial" w:hAnsi="Arial" w:cs="Arial"/>
          <w:sz w:val="22"/>
          <w:szCs w:val="24"/>
          <w:lang w:val="en-GB"/>
        </w:rPr>
        <w:t>C</w:t>
      </w:r>
      <w:r w:rsidR="00536FF0">
        <w:rPr>
          <w:rFonts w:ascii="Arial" w:hAnsi="Arial" w:cs="Arial"/>
          <w:sz w:val="22"/>
          <w:szCs w:val="24"/>
          <w:lang w:val="en-GB"/>
        </w:rPr>
        <w:t>oP</w:t>
      </w:r>
      <w:r w:rsidR="00105635">
        <w:rPr>
          <w:rFonts w:ascii="Arial" w:hAnsi="Arial" w:cs="Arial"/>
          <w:sz w:val="22"/>
          <w:szCs w:val="24"/>
          <w:lang w:val="en-GB"/>
        </w:rPr>
        <w:t xml:space="preserve"> continue to</w:t>
      </w:r>
      <w:r w:rsidR="00847291">
        <w:rPr>
          <w:rFonts w:ascii="Arial" w:hAnsi="Arial" w:cs="Arial"/>
          <w:sz w:val="22"/>
          <w:szCs w:val="24"/>
          <w:lang w:val="en-GB"/>
        </w:rPr>
        <w:t xml:space="preserve"> occur</w:t>
      </w:r>
      <w:r w:rsidR="004E4547">
        <w:rPr>
          <w:rFonts w:ascii="Arial" w:hAnsi="Arial" w:cs="Arial"/>
          <w:sz w:val="22"/>
          <w:szCs w:val="24"/>
          <w:lang w:val="en-GB"/>
        </w:rPr>
        <w:t xml:space="preserve"> across the basin</w:t>
      </w:r>
      <w:r w:rsidR="00847291">
        <w:rPr>
          <w:rFonts w:ascii="Arial" w:hAnsi="Arial" w:cs="Arial"/>
          <w:sz w:val="22"/>
          <w:szCs w:val="24"/>
          <w:lang w:val="en-GB"/>
        </w:rPr>
        <w:t xml:space="preserve">, the effect of which </w:t>
      </w:r>
      <w:r w:rsidR="00B41D4A">
        <w:rPr>
          <w:rFonts w:ascii="Arial" w:hAnsi="Arial" w:cs="Arial"/>
          <w:sz w:val="22"/>
          <w:szCs w:val="24"/>
          <w:lang w:val="en-GB"/>
        </w:rPr>
        <w:t xml:space="preserve">on the metric has yet to be fully realised. </w:t>
      </w:r>
      <w:r w:rsidR="00434909">
        <w:rPr>
          <w:rFonts w:ascii="Arial" w:hAnsi="Arial" w:cs="Arial"/>
          <w:sz w:val="22"/>
          <w:szCs w:val="24"/>
          <w:lang w:val="en-GB"/>
        </w:rPr>
        <w:t xml:space="preserve">Inadequate preparation for </w:t>
      </w:r>
      <w:r w:rsidR="00406241">
        <w:rPr>
          <w:rFonts w:ascii="Arial" w:hAnsi="Arial" w:cs="Arial"/>
          <w:sz w:val="22"/>
          <w:szCs w:val="24"/>
          <w:lang w:val="en-GB"/>
        </w:rPr>
        <w:t xml:space="preserve">decommissioning, including </w:t>
      </w:r>
      <w:r w:rsidR="00D65603">
        <w:rPr>
          <w:rFonts w:ascii="Arial" w:hAnsi="Arial" w:cs="Arial"/>
          <w:sz w:val="22"/>
          <w:szCs w:val="24"/>
          <w:lang w:val="en-GB"/>
        </w:rPr>
        <w:t xml:space="preserve">lost </w:t>
      </w:r>
      <w:r w:rsidR="00406241">
        <w:rPr>
          <w:rFonts w:ascii="Arial" w:hAnsi="Arial" w:cs="Arial"/>
          <w:sz w:val="22"/>
          <w:szCs w:val="24"/>
          <w:lang w:val="en-GB"/>
        </w:rPr>
        <w:t>opp</w:t>
      </w:r>
      <w:r w:rsidR="00D41966">
        <w:rPr>
          <w:rFonts w:ascii="Arial" w:hAnsi="Arial" w:cs="Arial"/>
          <w:sz w:val="22"/>
          <w:szCs w:val="24"/>
          <w:lang w:val="en-GB"/>
        </w:rPr>
        <w:t xml:space="preserve">ortunity to execute </w:t>
      </w:r>
      <w:r w:rsidR="00F57065">
        <w:rPr>
          <w:rFonts w:ascii="Arial" w:hAnsi="Arial" w:cs="Arial"/>
          <w:sz w:val="22"/>
          <w:szCs w:val="24"/>
          <w:lang w:val="en-GB"/>
        </w:rPr>
        <w:t xml:space="preserve">decommissioning </w:t>
      </w:r>
      <w:r w:rsidR="00D41966">
        <w:rPr>
          <w:rFonts w:ascii="Arial" w:hAnsi="Arial" w:cs="Arial"/>
          <w:sz w:val="22"/>
          <w:szCs w:val="24"/>
          <w:lang w:val="en-GB"/>
        </w:rPr>
        <w:t xml:space="preserve">scope </w:t>
      </w:r>
      <w:r w:rsidR="00EC0DDF">
        <w:rPr>
          <w:rFonts w:ascii="Arial" w:hAnsi="Arial" w:cs="Arial"/>
          <w:sz w:val="22"/>
          <w:szCs w:val="24"/>
          <w:lang w:val="en-GB"/>
        </w:rPr>
        <w:t xml:space="preserve">during late life phase </w:t>
      </w:r>
      <w:r w:rsidR="007C04D6">
        <w:rPr>
          <w:rFonts w:ascii="Arial" w:hAnsi="Arial" w:cs="Arial"/>
          <w:sz w:val="22"/>
          <w:szCs w:val="24"/>
          <w:lang w:val="en-GB"/>
        </w:rPr>
        <w:t xml:space="preserve">results in </w:t>
      </w:r>
      <w:r w:rsidR="004E5870">
        <w:rPr>
          <w:rFonts w:ascii="Arial" w:hAnsi="Arial" w:cs="Arial"/>
          <w:sz w:val="22"/>
          <w:szCs w:val="24"/>
          <w:lang w:val="en-GB"/>
        </w:rPr>
        <w:t xml:space="preserve">additional costs </w:t>
      </w:r>
      <w:r w:rsidR="00667C17">
        <w:rPr>
          <w:rFonts w:ascii="Arial" w:hAnsi="Arial" w:cs="Arial"/>
          <w:sz w:val="22"/>
          <w:szCs w:val="24"/>
          <w:lang w:val="en-GB"/>
        </w:rPr>
        <w:t xml:space="preserve">(£50MM - £100MM) </w:t>
      </w:r>
      <w:r w:rsidR="004E5870">
        <w:rPr>
          <w:rFonts w:ascii="Arial" w:hAnsi="Arial" w:cs="Arial"/>
          <w:sz w:val="22"/>
          <w:szCs w:val="24"/>
          <w:lang w:val="en-GB"/>
        </w:rPr>
        <w:t xml:space="preserve">being </w:t>
      </w:r>
      <w:r w:rsidR="00FC1F3A">
        <w:rPr>
          <w:rFonts w:ascii="Arial" w:hAnsi="Arial" w:cs="Arial"/>
          <w:sz w:val="22"/>
          <w:szCs w:val="24"/>
          <w:lang w:val="en-GB"/>
        </w:rPr>
        <w:t>incurred</w:t>
      </w:r>
      <w:r w:rsidR="00F57065">
        <w:rPr>
          <w:rFonts w:ascii="Arial" w:hAnsi="Arial" w:cs="Arial"/>
          <w:sz w:val="22"/>
          <w:szCs w:val="24"/>
          <w:lang w:val="en-GB"/>
        </w:rPr>
        <w:t>.</w:t>
      </w:r>
    </w:p>
    <w:p w14:paraId="163D92BB" w14:textId="77777777" w:rsidR="001C55CA" w:rsidRDefault="001C55CA" w:rsidP="00F1757D">
      <w:pPr>
        <w:jc w:val="both"/>
        <w:rPr>
          <w:rFonts w:ascii="Arial" w:hAnsi="Arial" w:cs="Arial"/>
          <w:sz w:val="22"/>
          <w:szCs w:val="24"/>
          <w:lang w:val="en-GB"/>
        </w:rPr>
      </w:pPr>
    </w:p>
    <w:p w14:paraId="5D8DC42B" w14:textId="64B6DFEC" w:rsidR="001C55CA" w:rsidRPr="009E0CFB" w:rsidRDefault="001C55CA" w:rsidP="00F1757D">
      <w:pPr>
        <w:jc w:val="both"/>
        <w:rPr>
          <w:rFonts w:ascii="Arial" w:hAnsi="Arial" w:cs="Arial"/>
          <w:sz w:val="22"/>
          <w:szCs w:val="24"/>
          <w:lang w:val="en-GB"/>
        </w:rPr>
      </w:pPr>
      <w:r>
        <w:rPr>
          <w:rFonts w:ascii="Arial" w:hAnsi="Arial" w:cs="Arial"/>
          <w:sz w:val="22"/>
          <w:szCs w:val="24"/>
          <w:lang w:val="en-GB"/>
        </w:rPr>
        <w:t xml:space="preserve">Sample Size: </w:t>
      </w:r>
      <w:r w:rsidR="00462F87" w:rsidRPr="00462F87">
        <w:rPr>
          <w:rFonts w:ascii="Arial" w:hAnsi="Arial" w:cs="Arial"/>
          <w:sz w:val="22"/>
          <w:szCs w:val="24"/>
          <w:lang w:val="en-GB"/>
        </w:rPr>
        <w:t>5-10</w:t>
      </w:r>
    </w:p>
    <w:p w14:paraId="3475DEB1" w14:textId="77777777" w:rsidR="005F2C9E" w:rsidRDefault="005F2C9E" w:rsidP="00BD2D56">
      <w:pPr>
        <w:jc w:val="both"/>
        <w:rPr>
          <w:rFonts w:ascii="Arial" w:hAnsi="Arial" w:cs="Arial"/>
          <w:sz w:val="22"/>
          <w:szCs w:val="24"/>
          <w:lang w:val="en-GB"/>
        </w:rPr>
      </w:pPr>
    </w:p>
    <w:p w14:paraId="5ECD9516" w14:textId="55636B9C" w:rsidR="00074A0A" w:rsidRPr="009E0CFB" w:rsidRDefault="00074A0A" w:rsidP="00074A0A">
      <w:pPr>
        <w:jc w:val="both"/>
        <w:rPr>
          <w:rFonts w:ascii="Arial" w:hAnsi="Arial"/>
          <w:b/>
          <w:sz w:val="22"/>
          <w:szCs w:val="22"/>
          <w:lang w:val="en-GB"/>
        </w:rPr>
      </w:pPr>
      <w:r w:rsidRPr="009E0CFB">
        <w:rPr>
          <w:rFonts w:ascii="Arial" w:hAnsi="Arial"/>
          <w:b/>
          <w:sz w:val="22"/>
          <w:szCs w:val="22"/>
          <w:lang w:val="en-GB"/>
        </w:rPr>
        <w:t xml:space="preserve">Figure </w:t>
      </w:r>
      <w:r w:rsidR="00F71C30">
        <w:rPr>
          <w:rFonts w:ascii="Arial" w:hAnsi="Arial"/>
          <w:b/>
          <w:sz w:val="22"/>
          <w:szCs w:val="22"/>
          <w:lang w:val="en-GB"/>
        </w:rPr>
        <w:t>6</w:t>
      </w:r>
      <w:r w:rsidRPr="009E0CFB">
        <w:rPr>
          <w:rFonts w:ascii="Arial" w:hAnsi="Arial"/>
          <w:b/>
          <w:sz w:val="22"/>
          <w:szCs w:val="22"/>
          <w:lang w:val="en-GB"/>
        </w:rPr>
        <w:t>: Large Platform Running Cost distribution: NNS &amp; CNS</w:t>
      </w:r>
    </w:p>
    <w:p w14:paraId="0FDD4AA8" w14:textId="21D21306" w:rsidR="00074A0A" w:rsidRPr="009E0CFB" w:rsidRDefault="00074A0A" w:rsidP="00074A0A">
      <w:pPr>
        <w:ind w:left="1701"/>
        <w:rPr>
          <w:rFonts w:ascii="Arial" w:hAnsi="Arial" w:cs="Arial"/>
          <w:b/>
          <w:color w:val="FF0000"/>
          <w:sz w:val="22"/>
          <w:szCs w:val="22"/>
          <w:lang w:val="en-GB"/>
        </w:rPr>
      </w:pPr>
    </w:p>
    <w:p w14:paraId="3785C475" w14:textId="519EC6E6" w:rsidR="00074A0A" w:rsidRPr="009E0CFB" w:rsidRDefault="00074A0A" w:rsidP="00074A0A">
      <w:pPr>
        <w:jc w:val="both"/>
        <w:rPr>
          <w:rFonts w:ascii="Arial" w:hAnsi="Arial" w:cs="Arial"/>
          <w:sz w:val="22"/>
          <w:szCs w:val="24"/>
          <w:lang w:val="en-GB"/>
        </w:rPr>
      </w:pPr>
    </w:p>
    <w:p w14:paraId="5CBCF734" w14:textId="1F44FDC6" w:rsidR="00DC2F95" w:rsidRDefault="00774E1A" w:rsidP="00074A0A">
      <w:pPr>
        <w:jc w:val="both"/>
        <w:rPr>
          <w:rFonts w:ascii="Arial" w:hAnsi="Arial" w:cs="Arial"/>
          <w:sz w:val="22"/>
          <w:szCs w:val="24"/>
          <w:lang w:val="en-GB"/>
        </w:rPr>
      </w:pPr>
      <w:r>
        <w:rPr>
          <w:rFonts w:ascii="Arial" w:hAnsi="Arial" w:cs="Arial"/>
          <w:noProof/>
          <w:sz w:val="22"/>
          <w:szCs w:val="24"/>
          <w:lang w:val="en-GB"/>
        </w:rPr>
        <w:drawing>
          <wp:inline distT="0" distB="0" distL="0" distR="0" wp14:anchorId="1678E8FD" wp14:editId="01F57D25">
            <wp:extent cx="4159250" cy="24774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4538" cy="2486537"/>
                    </a:xfrm>
                    <a:prstGeom prst="rect">
                      <a:avLst/>
                    </a:prstGeom>
                    <a:noFill/>
                  </pic:spPr>
                </pic:pic>
              </a:graphicData>
            </a:graphic>
          </wp:inline>
        </w:drawing>
      </w:r>
      <w:r w:rsidR="002B39EC" w:rsidRPr="002B39EC">
        <w:rPr>
          <w:rFonts w:ascii="Arial" w:hAnsi="Arial" w:cs="Arial"/>
          <w:sz w:val="22"/>
          <w:szCs w:val="24"/>
          <w:lang w:val="en-GB"/>
        </w:rPr>
        <w:t xml:space="preserve"> </w:t>
      </w:r>
      <w:r w:rsidR="00B50A5A" w:rsidRPr="00B50A5A">
        <w:rPr>
          <w:noProof/>
        </w:rPr>
        <w:drawing>
          <wp:inline distT="0" distB="0" distL="0" distR="0" wp14:anchorId="166FA1DA" wp14:editId="72874C08">
            <wp:extent cx="1383030" cy="630555"/>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3030" cy="630555"/>
                    </a:xfrm>
                    <a:prstGeom prst="rect">
                      <a:avLst/>
                    </a:prstGeom>
                    <a:noFill/>
                    <a:ln>
                      <a:noFill/>
                    </a:ln>
                  </pic:spPr>
                </pic:pic>
              </a:graphicData>
            </a:graphic>
          </wp:inline>
        </w:drawing>
      </w:r>
    </w:p>
    <w:p w14:paraId="0A99001B" w14:textId="77777777" w:rsidR="00074A0A" w:rsidRPr="009E0CFB" w:rsidRDefault="00074A0A" w:rsidP="00074A0A">
      <w:pPr>
        <w:jc w:val="both"/>
        <w:rPr>
          <w:rFonts w:ascii="Arial" w:hAnsi="Arial"/>
          <w:b/>
          <w:sz w:val="22"/>
          <w:szCs w:val="22"/>
          <w:lang w:val="en-GB"/>
        </w:rPr>
      </w:pPr>
    </w:p>
    <w:p w14:paraId="3ACCF7A5" w14:textId="5E77A14D" w:rsidR="001A37F8" w:rsidRDefault="00800809">
      <w:pPr>
        <w:rPr>
          <w:rFonts w:ascii="Arial" w:hAnsi="Arial"/>
          <w:b/>
          <w:sz w:val="22"/>
          <w:szCs w:val="22"/>
          <w:lang w:val="en-GB"/>
        </w:rPr>
      </w:pPr>
      <w:bookmarkStart w:id="124" w:name="_Hlk50043028"/>
      <w:r w:rsidRPr="00800809">
        <w:rPr>
          <w:rFonts w:ascii="Arial" w:hAnsi="Arial"/>
          <w:b/>
          <w:noProof/>
          <w:sz w:val="22"/>
          <w:szCs w:val="22"/>
          <w:lang w:val="en-GB"/>
        </w:rPr>
        <w:drawing>
          <wp:inline distT="0" distB="0" distL="0" distR="0" wp14:anchorId="2E73F724" wp14:editId="6AB15664">
            <wp:extent cx="5119174" cy="3145971"/>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30259" cy="3152783"/>
                    </a:xfrm>
                    <a:prstGeom prst="rect">
                      <a:avLst/>
                    </a:prstGeom>
                  </pic:spPr>
                </pic:pic>
              </a:graphicData>
            </a:graphic>
          </wp:inline>
        </w:drawing>
      </w:r>
      <w:r w:rsidR="001A37F8">
        <w:rPr>
          <w:rFonts w:ascii="Arial" w:hAnsi="Arial"/>
          <w:b/>
          <w:sz w:val="22"/>
          <w:szCs w:val="22"/>
          <w:lang w:val="en-GB"/>
        </w:rPr>
        <w:br w:type="page"/>
      </w:r>
    </w:p>
    <w:p w14:paraId="694EDBE3" w14:textId="396AD843" w:rsidR="00DC6203" w:rsidRPr="001A6014" w:rsidRDefault="009019DC" w:rsidP="001A6014">
      <w:pPr>
        <w:pStyle w:val="Heading1"/>
        <w:jc w:val="left"/>
        <w:rPr>
          <w:lang w:val="en-GB"/>
        </w:rPr>
      </w:pPr>
      <w:bookmarkStart w:id="125" w:name="_Toc85627559"/>
      <w:r w:rsidRPr="00F1757D">
        <w:rPr>
          <w:lang w:val="en-GB"/>
        </w:rPr>
        <w:t xml:space="preserve">4.2 </w:t>
      </w:r>
      <w:r w:rsidR="00EC1B33" w:rsidRPr="001A6014">
        <w:rPr>
          <w:lang w:val="en-GB"/>
        </w:rPr>
        <w:t>Southern</w:t>
      </w:r>
      <w:r w:rsidR="00DC6203" w:rsidRPr="001A6014">
        <w:rPr>
          <w:lang w:val="en-GB"/>
        </w:rPr>
        <w:t xml:space="preserve"> North Sea (</w:t>
      </w:r>
      <w:r w:rsidR="00EC1B33" w:rsidRPr="001A6014">
        <w:rPr>
          <w:lang w:val="en-GB"/>
        </w:rPr>
        <w:t>S</w:t>
      </w:r>
      <w:r w:rsidR="00DC6203" w:rsidRPr="001A6014">
        <w:rPr>
          <w:lang w:val="en-GB"/>
        </w:rPr>
        <w:t xml:space="preserve">NS) &amp; </w:t>
      </w:r>
      <w:r w:rsidR="00EC1B33" w:rsidRPr="001A6014">
        <w:rPr>
          <w:lang w:val="en-GB"/>
        </w:rPr>
        <w:t>East Irish Sea</w:t>
      </w:r>
      <w:r w:rsidR="00DC6203" w:rsidRPr="001A6014">
        <w:rPr>
          <w:lang w:val="en-GB"/>
        </w:rPr>
        <w:t xml:space="preserve"> (</w:t>
      </w:r>
      <w:r w:rsidR="00EC1B33" w:rsidRPr="001A6014">
        <w:rPr>
          <w:lang w:val="en-GB"/>
        </w:rPr>
        <w:t>EIS</w:t>
      </w:r>
      <w:r w:rsidR="00DC6203" w:rsidRPr="001A6014">
        <w:rPr>
          <w:lang w:val="en-GB"/>
        </w:rPr>
        <w:t>)</w:t>
      </w:r>
      <w:r w:rsidR="001A6014">
        <w:rPr>
          <w:lang w:val="en-GB"/>
        </w:rPr>
        <w:t xml:space="preserve"> – Normally Un</w:t>
      </w:r>
      <w:r w:rsidR="00546B6B">
        <w:rPr>
          <w:lang w:val="en-GB"/>
        </w:rPr>
        <w:t>attended</w:t>
      </w:r>
      <w:r w:rsidR="001A6014">
        <w:rPr>
          <w:lang w:val="en-GB"/>
        </w:rPr>
        <w:t xml:space="preserve"> Installations (NUI)</w:t>
      </w:r>
      <w:bookmarkEnd w:id="125"/>
    </w:p>
    <w:p w14:paraId="11569312" w14:textId="77777777" w:rsidR="00DC6203" w:rsidRDefault="00DC6203" w:rsidP="00F1757D">
      <w:pPr>
        <w:jc w:val="both"/>
        <w:rPr>
          <w:rFonts w:ascii="Arial" w:hAnsi="Arial" w:cs="Arial"/>
          <w:sz w:val="22"/>
          <w:szCs w:val="24"/>
          <w:lang w:val="en-GB"/>
        </w:rPr>
      </w:pPr>
    </w:p>
    <w:p w14:paraId="64E89500" w14:textId="765EBA57" w:rsidR="00A84750" w:rsidRDefault="00CD444F" w:rsidP="00F1757D">
      <w:pPr>
        <w:jc w:val="both"/>
        <w:rPr>
          <w:rFonts w:ascii="Arial" w:hAnsi="Arial" w:cs="Arial"/>
          <w:sz w:val="22"/>
          <w:szCs w:val="24"/>
          <w:highlight w:val="yellow"/>
          <w:lang w:val="en-GB"/>
        </w:rPr>
      </w:pPr>
      <w:r>
        <w:rPr>
          <w:rFonts w:ascii="Arial" w:hAnsi="Arial" w:cs="Arial"/>
          <w:sz w:val="22"/>
          <w:szCs w:val="24"/>
          <w:highlight w:val="yellow"/>
          <w:lang w:val="en-GB"/>
        </w:rPr>
        <w:t>P</w:t>
      </w:r>
      <w:r w:rsidR="00E9113D" w:rsidRPr="008947FB">
        <w:rPr>
          <w:rFonts w:ascii="Arial" w:hAnsi="Arial" w:cs="Arial"/>
          <w:sz w:val="22"/>
          <w:szCs w:val="24"/>
          <w:highlight w:val="yellow"/>
          <w:lang w:val="en-GB"/>
        </w:rPr>
        <w:t>ost</w:t>
      </w:r>
      <w:r w:rsidR="00BD7C8F" w:rsidRPr="008947FB">
        <w:rPr>
          <w:rFonts w:ascii="Arial" w:hAnsi="Arial" w:cs="Arial"/>
          <w:sz w:val="22"/>
          <w:szCs w:val="24"/>
          <w:highlight w:val="yellow"/>
          <w:lang w:val="en-GB"/>
        </w:rPr>
        <w:t xml:space="preserve"> </w:t>
      </w:r>
      <w:r w:rsidR="00BE61FB" w:rsidRPr="008947FB">
        <w:rPr>
          <w:rFonts w:ascii="Arial" w:hAnsi="Arial" w:cs="Arial"/>
          <w:sz w:val="22"/>
          <w:szCs w:val="24"/>
          <w:highlight w:val="yellow"/>
          <w:lang w:val="en-GB"/>
        </w:rPr>
        <w:t xml:space="preserve">CoP </w:t>
      </w:r>
      <w:r w:rsidR="00BD7C8F" w:rsidRPr="008947FB">
        <w:rPr>
          <w:rFonts w:ascii="Arial" w:hAnsi="Arial" w:cs="Arial"/>
          <w:sz w:val="22"/>
          <w:szCs w:val="24"/>
          <w:highlight w:val="yellow"/>
          <w:lang w:val="en-GB"/>
        </w:rPr>
        <w:t xml:space="preserve">running costs </w:t>
      </w:r>
      <w:r w:rsidR="00F521A5" w:rsidRPr="008947FB">
        <w:rPr>
          <w:rFonts w:ascii="Arial" w:hAnsi="Arial" w:cs="Arial"/>
          <w:sz w:val="22"/>
          <w:szCs w:val="24"/>
          <w:highlight w:val="yellow"/>
          <w:lang w:val="en-GB"/>
        </w:rPr>
        <w:t xml:space="preserve">are </w:t>
      </w:r>
      <w:r w:rsidR="007434B4" w:rsidRPr="008947FB">
        <w:rPr>
          <w:rFonts w:ascii="Arial" w:hAnsi="Arial" w:cs="Arial"/>
          <w:sz w:val="22"/>
          <w:szCs w:val="24"/>
          <w:highlight w:val="yellow"/>
          <w:lang w:val="en-GB"/>
        </w:rPr>
        <w:t>generally</w:t>
      </w:r>
      <w:r w:rsidR="00806AF9" w:rsidRPr="008947FB">
        <w:rPr>
          <w:rFonts w:ascii="Arial" w:hAnsi="Arial" w:cs="Arial"/>
          <w:sz w:val="22"/>
          <w:szCs w:val="24"/>
          <w:highlight w:val="yellow"/>
          <w:lang w:val="en-GB"/>
        </w:rPr>
        <w:t xml:space="preserve"> </w:t>
      </w:r>
      <w:r w:rsidR="002F7A61">
        <w:rPr>
          <w:rFonts w:ascii="Arial" w:hAnsi="Arial" w:cs="Arial"/>
          <w:sz w:val="22"/>
          <w:szCs w:val="24"/>
          <w:highlight w:val="yellow"/>
          <w:lang w:val="en-GB"/>
        </w:rPr>
        <w:t xml:space="preserve">very </w:t>
      </w:r>
      <w:r w:rsidR="00806AF9" w:rsidRPr="008947FB">
        <w:rPr>
          <w:rFonts w:ascii="Arial" w:hAnsi="Arial" w:cs="Arial"/>
          <w:sz w:val="22"/>
          <w:szCs w:val="24"/>
          <w:highlight w:val="yellow"/>
          <w:lang w:val="en-GB"/>
        </w:rPr>
        <w:t>low</w:t>
      </w:r>
      <w:r w:rsidR="008431DC">
        <w:rPr>
          <w:rFonts w:ascii="Arial" w:hAnsi="Arial" w:cs="Arial"/>
          <w:sz w:val="22"/>
          <w:szCs w:val="24"/>
          <w:highlight w:val="yellow"/>
          <w:lang w:val="en-GB"/>
        </w:rPr>
        <w:t>,</w:t>
      </w:r>
      <w:r w:rsidR="00806AF9" w:rsidRPr="008947FB">
        <w:rPr>
          <w:rFonts w:ascii="Arial" w:hAnsi="Arial" w:cs="Arial"/>
          <w:sz w:val="22"/>
          <w:szCs w:val="24"/>
          <w:highlight w:val="yellow"/>
          <w:lang w:val="en-GB"/>
        </w:rPr>
        <w:t xml:space="preserve"> </w:t>
      </w:r>
      <w:r w:rsidR="001A5133" w:rsidRPr="008947FB">
        <w:rPr>
          <w:rFonts w:ascii="Arial" w:hAnsi="Arial" w:cs="Arial"/>
          <w:sz w:val="22"/>
          <w:szCs w:val="24"/>
          <w:highlight w:val="yellow"/>
          <w:lang w:val="en-GB"/>
        </w:rPr>
        <w:t xml:space="preserve">reflective of </w:t>
      </w:r>
      <w:r w:rsidR="005B7C94" w:rsidRPr="008947FB">
        <w:rPr>
          <w:rFonts w:ascii="Arial" w:hAnsi="Arial" w:cs="Arial"/>
          <w:sz w:val="22"/>
          <w:szCs w:val="24"/>
          <w:highlight w:val="yellow"/>
          <w:lang w:val="en-GB"/>
        </w:rPr>
        <w:t xml:space="preserve">nominally </w:t>
      </w:r>
      <w:r w:rsidR="0063585E" w:rsidRPr="008947FB">
        <w:rPr>
          <w:rFonts w:ascii="Arial" w:hAnsi="Arial" w:cs="Arial"/>
          <w:sz w:val="22"/>
          <w:szCs w:val="24"/>
          <w:highlight w:val="yellow"/>
          <w:lang w:val="en-GB"/>
        </w:rPr>
        <w:t>low</w:t>
      </w:r>
      <w:r w:rsidR="007434B4" w:rsidRPr="008947FB">
        <w:rPr>
          <w:rFonts w:ascii="Arial" w:hAnsi="Arial" w:cs="Arial"/>
          <w:sz w:val="22"/>
          <w:szCs w:val="24"/>
          <w:highlight w:val="yellow"/>
          <w:lang w:val="en-GB"/>
        </w:rPr>
        <w:t>er</w:t>
      </w:r>
      <w:r w:rsidR="0063585E" w:rsidRPr="008947FB">
        <w:rPr>
          <w:rFonts w:ascii="Arial" w:hAnsi="Arial" w:cs="Arial"/>
          <w:sz w:val="22"/>
          <w:szCs w:val="24"/>
          <w:highlight w:val="yellow"/>
          <w:lang w:val="en-GB"/>
        </w:rPr>
        <w:t xml:space="preserve"> </w:t>
      </w:r>
      <w:proofErr w:type="spellStart"/>
      <w:r w:rsidR="00E148CD" w:rsidRPr="008947FB">
        <w:rPr>
          <w:rFonts w:ascii="Arial" w:hAnsi="Arial" w:cs="Arial"/>
          <w:sz w:val="22"/>
          <w:szCs w:val="24"/>
          <w:highlight w:val="yellow"/>
          <w:lang w:val="en-GB"/>
        </w:rPr>
        <w:t>Opex</w:t>
      </w:r>
      <w:proofErr w:type="spellEnd"/>
      <w:r w:rsidR="00E148CD" w:rsidRPr="008947FB">
        <w:rPr>
          <w:rFonts w:ascii="Arial" w:hAnsi="Arial" w:cs="Arial"/>
          <w:sz w:val="22"/>
          <w:szCs w:val="24"/>
          <w:highlight w:val="yellow"/>
          <w:lang w:val="en-GB"/>
        </w:rPr>
        <w:t xml:space="preserve"> </w:t>
      </w:r>
      <w:r>
        <w:rPr>
          <w:rFonts w:ascii="Arial" w:hAnsi="Arial" w:cs="Arial"/>
          <w:sz w:val="22"/>
          <w:szCs w:val="24"/>
          <w:highlight w:val="yellow"/>
          <w:lang w:val="en-GB"/>
        </w:rPr>
        <w:t xml:space="preserve">for NUI </w:t>
      </w:r>
      <w:r w:rsidR="00B5373E">
        <w:rPr>
          <w:rFonts w:ascii="Arial" w:hAnsi="Arial" w:cs="Arial"/>
          <w:sz w:val="22"/>
          <w:szCs w:val="24"/>
          <w:highlight w:val="yellow"/>
          <w:lang w:val="en-GB"/>
        </w:rPr>
        <w:t xml:space="preserve">status </w:t>
      </w:r>
      <w:r>
        <w:rPr>
          <w:rFonts w:ascii="Arial" w:hAnsi="Arial" w:cs="Arial"/>
          <w:sz w:val="22"/>
          <w:szCs w:val="24"/>
          <w:highlight w:val="yellow"/>
          <w:lang w:val="en-GB"/>
        </w:rPr>
        <w:t xml:space="preserve">in conjunction with completion of efficient </w:t>
      </w:r>
      <w:r w:rsidR="00405D17">
        <w:rPr>
          <w:rFonts w:ascii="Arial" w:hAnsi="Arial" w:cs="Arial"/>
          <w:sz w:val="22"/>
          <w:szCs w:val="24"/>
          <w:highlight w:val="yellow"/>
          <w:lang w:val="en-GB"/>
        </w:rPr>
        <w:t>well decommissioning</w:t>
      </w:r>
      <w:r>
        <w:rPr>
          <w:rFonts w:ascii="Arial" w:hAnsi="Arial" w:cs="Arial"/>
          <w:sz w:val="22"/>
          <w:szCs w:val="24"/>
          <w:highlight w:val="yellow"/>
          <w:lang w:val="en-GB"/>
        </w:rPr>
        <w:t xml:space="preserve"> (typically a single </w:t>
      </w:r>
      <w:r w:rsidR="008B7888">
        <w:rPr>
          <w:rFonts w:ascii="Arial" w:hAnsi="Arial" w:cs="Arial"/>
          <w:sz w:val="22"/>
          <w:szCs w:val="24"/>
          <w:highlight w:val="yellow"/>
          <w:lang w:val="en-GB"/>
        </w:rPr>
        <w:t xml:space="preserve">P&amp;A </w:t>
      </w:r>
      <w:r>
        <w:rPr>
          <w:rFonts w:ascii="Arial" w:hAnsi="Arial" w:cs="Arial"/>
          <w:sz w:val="22"/>
          <w:szCs w:val="24"/>
          <w:highlight w:val="yellow"/>
          <w:lang w:val="en-GB"/>
        </w:rPr>
        <w:t>campaign)</w:t>
      </w:r>
      <w:r w:rsidR="003767F2">
        <w:rPr>
          <w:rFonts w:ascii="Arial" w:hAnsi="Arial" w:cs="Arial"/>
          <w:sz w:val="22"/>
          <w:szCs w:val="24"/>
          <w:highlight w:val="yellow"/>
          <w:lang w:val="en-GB"/>
        </w:rPr>
        <w:t xml:space="preserve">. </w:t>
      </w:r>
      <w:r w:rsidR="008818B9">
        <w:rPr>
          <w:rFonts w:ascii="Arial" w:hAnsi="Arial" w:cs="Arial"/>
          <w:sz w:val="22"/>
          <w:szCs w:val="24"/>
          <w:highlight w:val="yellow"/>
          <w:lang w:val="en-GB"/>
        </w:rPr>
        <w:t>Despite th</w:t>
      </w:r>
      <w:r w:rsidR="008B7888">
        <w:rPr>
          <w:rFonts w:ascii="Arial" w:hAnsi="Arial" w:cs="Arial"/>
          <w:sz w:val="22"/>
          <w:szCs w:val="24"/>
          <w:highlight w:val="yellow"/>
          <w:lang w:val="en-GB"/>
        </w:rPr>
        <w:t>ese factors</w:t>
      </w:r>
      <w:r w:rsidR="008818B9">
        <w:rPr>
          <w:rFonts w:ascii="Arial" w:hAnsi="Arial" w:cs="Arial"/>
          <w:sz w:val="22"/>
          <w:szCs w:val="24"/>
          <w:highlight w:val="yellow"/>
          <w:lang w:val="en-GB"/>
        </w:rPr>
        <w:t>, s</w:t>
      </w:r>
      <w:r w:rsidR="007434B4" w:rsidRPr="008947FB">
        <w:rPr>
          <w:rFonts w:ascii="Arial" w:hAnsi="Arial" w:cs="Arial"/>
          <w:sz w:val="22"/>
          <w:szCs w:val="24"/>
          <w:highlight w:val="yellow"/>
          <w:lang w:val="en-GB"/>
        </w:rPr>
        <w:t>ignificant outliers</w:t>
      </w:r>
      <w:r w:rsidR="00ED0A5F" w:rsidRPr="008947FB">
        <w:rPr>
          <w:rFonts w:ascii="Arial" w:hAnsi="Arial" w:cs="Arial"/>
          <w:sz w:val="22"/>
          <w:szCs w:val="24"/>
          <w:highlight w:val="yellow"/>
          <w:lang w:val="en-GB"/>
        </w:rPr>
        <w:t xml:space="preserve"> in</w:t>
      </w:r>
      <w:r w:rsidR="008818B9">
        <w:rPr>
          <w:rFonts w:ascii="Arial" w:hAnsi="Arial" w:cs="Arial"/>
          <w:sz w:val="22"/>
          <w:szCs w:val="24"/>
          <w:highlight w:val="yellow"/>
          <w:lang w:val="en-GB"/>
        </w:rPr>
        <w:t xml:space="preserve"> cost</w:t>
      </w:r>
      <w:r w:rsidR="00ED0A5F" w:rsidRPr="008947FB">
        <w:rPr>
          <w:rFonts w:ascii="Arial" w:hAnsi="Arial" w:cs="Arial"/>
          <w:sz w:val="22"/>
          <w:szCs w:val="24"/>
          <w:highlight w:val="yellow"/>
          <w:lang w:val="en-GB"/>
        </w:rPr>
        <w:t xml:space="preserve"> </w:t>
      </w:r>
      <w:r w:rsidR="00C1551E" w:rsidRPr="008947FB">
        <w:rPr>
          <w:rFonts w:ascii="Arial" w:hAnsi="Arial" w:cs="Arial"/>
          <w:sz w:val="22"/>
          <w:szCs w:val="24"/>
          <w:highlight w:val="yellow"/>
          <w:lang w:val="en-GB"/>
        </w:rPr>
        <w:t xml:space="preserve">performance </w:t>
      </w:r>
      <w:r w:rsidR="008818B9">
        <w:rPr>
          <w:rFonts w:ascii="Arial" w:hAnsi="Arial" w:cs="Arial"/>
          <w:sz w:val="22"/>
          <w:szCs w:val="24"/>
          <w:highlight w:val="yellow"/>
          <w:lang w:val="en-GB"/>
        </w:rPr>
        <w:t xml:space="preserve">are still </w:t>
      </w:r>
      <w:r w:rsidR="008B7888">
        <w:rPr>
          <w:rFonts w:ascii="Arial" w:hAnsi="Arial" w:cs="Arial"/>
          <w:sz w:val="22"/>
          <w:szCs w:val="24"/>
          <w:highlight w:val="yellow"/>
          <w:lang w:val="en-GB"/>
        </w:rPr>
        <w:t>observed</w:t>
      </w:r>
      <w:r w:rsidR="00483B62" w:rsidRPr="008947FB">
        <w:rPr>
          <w:rFonts w:ascii="Arial" w:hAnsi="Arial" w:cs="Arial"/>
          <w:sz w:val="22"/>
          <w:szCs w:val="24"/>
          <w:highlight w:val="yellow"/>
          <w:lang w:val="en-GB"/>
        </w:rPr>
        <w:t>.</w:t>
      </w:r>
      <w:r w:rsidR="00C1551E" w:rsidRPr="008947FB">
        <w:rPr>
          <w:rFonts w:ascii="Arial" w:hAnsi="Arial" w:cs="Arial"/>
          <w:sz w:val="22"/>
          <w:szCs w:val="24"/>
          <w:highlight w:val="yellow"/>
          <w:lang w:val="en-GB"/>
        </w:rPr>
        <w:t xml:space="preserve"> </w:t>
      </w:r>
    </w:p>
    <w:p w14:paraId="740D6BDE" w14:textId="77777777" w:rsidR="00A84750" w:rsidRDefault="00A84750" w:rsidP="00F1757D">
      <w:pPr>
        <w:jc w:val="both"/>
        <w:rPr>
          <w:rFonts w:ascii="Arial" w:hAnsi="Arial" w:cs="Arial"/>
          <w:sz w:val="22"/>
          <w:szCs w:val="24"/>
          <w:highlight w:val="yellow"/>
          <w:lang w:val="en-GB"/>
        </w:rPr>
      </w:pPr>
    </w:p>
    <w:p w14:paraId="6FCA3451" w14:textId="6D7AE514" w:rsidR="007531CD" w:rsidRPr="007531CD" w:rsidRDefault="00C0348E" w:rsidP="007531CD">
      <w:pPr>
        <w:jc w:val="both"/>
        <w:rPr>
          <w:rFonts w:ascii="Arial" w:hAnsi="Arial" w:cs="Arial"/>
          <w:sz w:val="22"/>
          <w:szCs w:val="24"/>
          <w:highlight w:val="yellow"/>
          <w:lang w:val="en-GB"/>
        </w:rPr>
      </w:pPr>
      <w:r w:rsidRPr="008947FB">
        <w:rPr>
          <w:rFonts w:ascii="Arial" w:hAnsi="Arial" w:cs="Arial"/>
          <w:sz w:val="22"/>
          <w:szCs w:val="24"/>
          <w:highlight w:val="yellow"/>
          <w:lang w:val="en-GB"/>
        </w:rPr>
        <w:t xml:space="preserve">The </w:t>
      </w:r>
      <w:r w:rsidR="008B7888">
        <w:rPr>
          <w:rFonts w:ascii="Arial" w:hAnsi="Arial" w:cs="Arial"/>
          <w:sz w:val="22"/>
          <w:szCs w:val="24"/>
          <w:highlight w:val="yellow"/>
          <w:lang w:val="en-GB"/>
        </w:rPr>
        <w:t xml:space="preserve">drivers of the </w:t>
      </w:r>
      <w:r w:rsidR="00A51620" w:rsidRPr="008947FB">
        <w:rPr>
          <w:rFonts w:ascii="Arial" w:hAnsi="Arial" w:cs="Arial"/>
          <w:sz w:val="22"/>
          <w:szCs w:val="24"/>
          <w:highlight w:val="yellow"/>
          <w:lang w:val="en-GB"/>
        </w:rPr>
        <w:t>significant increase in 4</w:t>
      </w:r>
      <w:r w:rsidR="00A51620" w:rsidRPr="008947FB">
        <w:rPr>
          <w:rFonts w:ascii="Arial" w:hAnsi="Arial" w:cs="Arial"/>
          <w:sz w:val="22"/>
          <w:szCs w:val="24"/>
          <w:highlight w:val="yellow"/>
          <w:vertAlign w:val="superscript"/>
          <w:lang w:val="en-GB"/>
        </w:rPr>
        <w:t>th</w:t>
      </w:r>
      <w:r w:rsidR="00A51620" w:rsidRPr="008947FB">
        <w:rPr>
          <w:rFonts w:ascii="Arial" w:hAnsi="Arial" w:cs="Arial"/>
          <w:sz w:val="22"/>
          <w:szCs w:val="24"/>
          <w:highlight w:val="yellow"/>
          <w:lang w:val="en-GB"/>
        </w:rPr>
        <w:t xml:space="preserve"> quartile </w:t>
      </w:r>
      <w:r w:rsidR="00837A1F" w:rsidRPr="008947FB">
        <w:rPr>
          <w:rFonts w:ascii="Arial" w:hAnsi="Arial" w:cs="Arial"/>
          <w:sz w:val="22"/>
          <w:szCs w:val="24"/>
          <w:highlight w:val="yellow"/>
          <w:lang w:val="en-GB"/>
        </w:rPr>
        <w:t xml:space="preserve">cost </w:t>
      </w:r>
      <w:r w:rsidR="00A51620" w:rsidRPr="008947FB">
        <w:rPr>
          <w:rFonts w:ascii="Arial" w:hAnsi="Arial" w:cs="Arial"/>
          <w:sz w:val="22"/>
          <w:szCs w:val="24"/>
          <w:highlight w:val="yellow"/>
          <w:lang w:val="en-GB"/>
        </w:rPr>
        <w:t xml:space="preserve">performance </w:t>
      </w:r>
      <w:r w:rsidR="002F7A61">
        <w:rPr>
          <w:rFonts w:ascii="Arial" w:hAnsi="Arial" w:cs="Arial"/>
          <w:sz w:val="22"/>
          <w:szCs w:val="24"/>
          <w:highlight w:val="yellow"/>
          <w:lang w:val="en-GB"/>
        </w:rPr>
        <w:t>are</w:t>
      </w:r>
      <w:r w:rsidR="008D3EE7" w:rsidRPr="008947FB">
        <w:rPr>
          <w:rFonts w:ascii="Arial" w:hAnsi="Arial" w:cs="Arial"/>
          <w:sz w:val="22"/>
          <w:szCs w:val="24"/>
          <w:highlight w:val="yellow"/>
          <w:lang w:val="en-GB"/>
        </w:rPr>
        <w:t xml:space="preserve"> </w:t>
      </w:r>
      <w:r w:rsidR="008818B9">
        <w:rPr>
          <w:rFonts w:ascii="Arial" w:hAnsi="Arial" w:cs="Arial"/>
          <w:sz w:val="22"/>
          <w:szCs w:val="24"/>
          <w:highlight w:val="yellow"/>
          <w:lang w:val="en-GB"/>
        </w:rPr>
        <w:t xml:space="preserve">multi-faceted and </w:t>
      </w:r>
      <w:r w:rsidR="00B90333">
        <w:rPr>
          <w:rFonts w:ascii="Arial" w:hAnsi="Arial" w:cs="Arial"/>
          <w:sz w:val="22"/>
          <w:szCs w:val="24"/>
          <w:highlight w:val="yellow"/>
          <w:lang w:val="en-GB"/>
        </w:rPr>
        <w:t xml:space="preserve">a </w:t>
      </w:r>
      <w:r w:rsidR="0053359E">
        <w:rPr>
          <w:rFonts w:ascii="Arial" w:hAnsi="Arial" w:cs="Arial"/>
          <w:sz w:val="22"/>
          <w:szCs w:val="24"/>
          <w:highlight w:val="yellow"/>
          <w:lang w:val="en-GB"/>
        </w:rPr>
        <w:t>function</w:t>
      </w:r>
      <w:r w:rsidR="0053359E" w:rsidRPr="008947FB">
        <w:rPr>
          <w:rFonts w:ascii="Arial" w:hAnsi="Arial" w:cs="Arial"/>
          <w:sz w:val="22"/>
          <w:szCs w:val="24"/>
          <w:highlight w:val="yellow"/>
          <w:lang w:val="en-GB"/>
        </w:rPr>
        <w:t xml:space="preserve"> of </w:t>
      </w:r>
      <w:r w:rsidR="0024092E">
        <w:rPr>
          <w:rFonts w:ascii="Arial" w:hAnsi="Arial" w:cs="Arial"/>
          <w:sz w:val="22"/>
          <w:szCs w:val="24"/>
          <w:highlight w:val="yellow"/>
          <w:lang w:val="en-GB"/>
        </w:rPr>
        <w:t>protracted period from CoP to cold stack</w:t>
      </w:r>
      <w:r w:rsidR="008818B9">
        <w:rPr>
          <w:rFonts w:ascii="Arial" w:hAnsi="Arial" w:cs="Arial"/>
          <w:sz w:val="22"/>
          <w:szCs w:val="24"/>
          <w:highlight w:val="yellow"/>
          <w:lang w:val="en-GB"/>
        </w:rPr>
        <w:t xml:space="preserve"> (</w:t>
      </w:r>
      <w:r w:rsidR="00750CDD">
        <w:rPr>
          <w:rFonts w:ascii="Arial" w:hAnsi="Arial" w:cs="Arial"/>
          <w:sz w:val="22"/>
          <w:szCs w:val="24"/>
          <w:highlight w:val="yellow"/>
          <w:lang w:val="en-GB"/>
        </w:rPr>
        <w:t xml:space="preserve">including </w:t>
      </w:r>
      <w:r w:rsidR="008818B9">
        <w:rPr>
          <w:rFonts w:ascii="Arial" w:hAnsi="Arial" w:cs="Arial"/>
          <w:sz w:val="22"/>
          <w:szCs w:val="24"/>
          <w:highlight w:val="yellow"/>
          <w:lang w:val="en-GB"/>
        </w:rPr>
        <w:t>delays due to Covid-19; evaluation of re-use</w:t>
      </w:r>
      <w:r w:rsidR="0024092E">
        <w:rPr>
          <w:rFonts w:ascii="Arial" w:hAnsi="Arial" w:cs="Arial"/>
          <w:sz w:val="22"/>
          <w:szCs w:val="24"/>
          <w:highlight w:val="yellow"/>
          <w:lang w:val="en-GB"/>
        </w:rPr>
        <w:t xml:space="preserve"> </w:t>
      </w:r>
      <w:r w:rsidR="002F7A61">
        <w:rPr>
          <w:rFonts w:ascii="Arial" w:hAnsi="Arial" w:cs="Arial"/>
          <w:sz w:val="22"/>
          <w:szCs w:val="24"/>
          <w:highlight w:val="yellow"/>
          <w:lang w:val="en-GB"/>
        </w:rPr>
        <w:t xml:space="preserve">and CCS </w:t>
      </w:r>
      <w:r w:rsidR="008818B9">
        <w:rPr>
          <w:rFonts w:ascii="Arial" w:hAnsi="Arial" w:cs="Arial"/>
          <w:sz w:val="22"/>
          <w:szCs w:val="24"/>
          <w:highlight w:val="yellow"/>
          <w:lang w:val="en-GB"/>
        </w:rPr>
        <w:t>potential)</w:t>
      </w:r>
      <w:r w:rsidR="008B7888">
        <w:rPr>
          <w:rFonts w:ascii="Arial" w:hAnsi="Arial" w:cs="Arial"/>
          <w:sz w:val="22"/>
          <w:szCs w:val="24"/>
          <w:highlight w:val="yellow"/>
          <w:lang w:val="en-GB"/>
        </w:rPr>
        <w:t xml:space="preserve"> </w:t>
      </w:r>
      <w:r w:rsidR="0024092E">
        <w:rPr>
          <w:rFonts w:ascii="Arial" w:hAnsi="Arial" w:cs="Arial"/>
          <w:sz w:val="22"/>
          <w:szCs w:val="24"/>
          <w:highlight w:val="yellow"/>
          <w:lang w:val="en-GB"/>
        </w:rPr>
        <w:t xml:space="preserve">plus </w:t>
      </w:r>
      <w:r w:rsidR="002F7A61">
        <w:rPr>
          <w:rFonts w:ascii="Arial" w:hAnsi="Arial" w:cs="Arial"/>
          <w:sz w:val="22"/>
          <w:szCs w:val="24"/>
          <w:highlight w:val="yellow"/>
          <w:lang w:val="en-GB"/>
        </w:rPr>
        <w:t>instances of</w:t>
      </w:r>
      <w:r w:rsidR="00DA04B0">
        <w:rPr>
          <w:rFonts w:ascii="Arial" w:hAnsi="Arial" w:cs="Arial"/>
          <w:sz w:val="22"/>
          <w:szCs w:val="24"/>
          <w:highlight w:val="yellow"/>
          <w:lang w:val="en-GB"/>
        </w:rPr>
        <w:t xml:space="preserve"> </w:t>
      </w:r>
      <w:r w:rsidR="001553F8">
        <w:rPr>
          <w:rFonts w:ascii="Arial" w:hAnsi="Arial" w:cs="Arial"/>
          <w:sz w:val="22"/>
          <w:szCs w:val="24"/>
          <w:highlight w:val="yellow"/>
          <w:lang w:val="en-GB"/>
        </w:rPr>
        <w:t xml:space="preserve">high </w:t>
      </w:r>
      <w:proofErr w:type="spellStart"/>
      <w:r w:rsidR="001553F8">
        <w:rPr>
          <w:rFonts w:ascii="Arial" w:hAnsi="Arial" w:cs="Arial"/>
          <w:sz w:val="22"/>
          <w:szCs w:val="24"/>
          <w:highlight w:val="yellow"/>
          <w:lang w:val="en-GB"/>
        </w:rPr>
        <w:t>opex</w:t>
      </w:r>
      <w:proofErr w:type="spellEnd"/>
      <w:r w:rsidR="001553F8">
        <w:rPr>
          <w:rFonts w:ascii="Arial" w:hAnsi="Arial" w:cs="Arial"/>
          <w:sz w:val="22"/>
          <w:szCs w:val="24"/>
          <w:highlight w:val="yellow"/>
          <w:lang w:val="en-GB"/>
        </w:rPr>
        <w:t xml:space="preserve"> driven by </w:t>
      </w:r>
      <w:r w:rsidR="009F5793" w:rsidRPr="008947FB">
        <w:rPr>
          <w:rFonts w:ascii="Arial" w:hAnsi="Arial" w:cs="Arial"/>
          <w:sz w:val="22"/>
          <w:szCs w:val="24"/>
          <w:highlight w:val="yellow"/>
          <w:lang w:val="en-GB"/>
        </w:rPr>
        <w:t>c</w:t>
      </w:r>
      <w:r w:rsidR="001D5FD4" w:rsidRPr="008947FB">
        <w:rPr>
          <w:rFonts w:ascii="Arial" w:hAnsi="Arial" w:cs="Arial"/>
          <w:sz w:val="22"/>
          <w:szCs w:val="24"/>
          <w:highlight w:val="yellow"/>
          <w:lang w:val="en-GB"/>
        </w:rPr>
        <w:t xml:space="preserve">ommercial </w:t>
      </w:r>
      <w:r w:rsidR="001553F8" w:rsidRPr="008947FB">
        <w:rPr>
          <w:rFonts w:ascii="Arial" w:hAnsi="Arial" w:cs="Arial"/>
          <w:sz w:val="22"/>
          <w:szCs w:val="24"/>
          <w:highlight w:val="yellow"/>
          <w:lang w:val="en-GB"/>
        </w:rPr>
        <w:t xml:space="preserve">and contractual </w:t>
      </w:r>
      <w:r w:rsidR="001D5FD4" w:rsidRPr="008947FB">
        <w:rPr>
          <w:rFonts w:ascii="Arial" w:hAnsi="Arial" w:cs="Arial"/>
          <w:sz w:val="22"/>
          <w:szCs w:val="24"/>
          <w:highlight w:val="yellow"/>
          <w:lang w:val="en-GB"/>
        </w:rPr>
        <w:t>agreements</w:t>
      </w:r>
      <w:r w:rsidR="00227778" w:rsidRPr="008947FB">
        <w:rPr>
          <w:rFonts w:ascii="Arial" w:hAnsi="Arial" w:cs="Arial"/>
          <w:sz w:val="22"/>
          <w:szCs w:val="24"/>
          <w:highlight w:val="yellow"/>
          <w:lang w:val="en-GB"/>
        </w:rPr>
        <w:t>.</w:t>
      </w:r>
    </w:p>
    <w:p w14:paraId="322EDC5E" w14:textId="77777777" w:rsidR="006E7F18" w:rsidRDefault="006E7F18" w:rsidP="00F1757D">
      <w:pPr>
        <w:jc w:val="both"/>
        <w:rPr>
          <w:rFonts w:ascii="Arial" w:hAnsi="Arial" w:cs="Arial"/>
          <w:sz w:val="22"/>
          <w:szCs w:val="24"/>
          <w:lang w:val="en-GB"/>
        </w:rPr>
      </w:pPr>
    </w:p>
    <w:p w14:paraId="6CA046DF" w14:textId="6448D9CB" w:rsidR="00FA10FE" w:rsidRPr="00FA10FE" w:rsidRDefault="00D922DB" w:rsidP="00F1757D">
      <w:pPr>
        <w:jc w:val="both"/>
        <w:rPr>
          <w:rFonts w:ascii="Arial" w:hAnsi="Arial" w:cs="Arial"/>
          <w:sz w:val="22"/>
          <w:szCs w:val="24"/>
          <w:lang w:val="en-GB"/>
        </w:rPr>
      </w:pPr>
      <w:r w:rsidRPr="00D922DB">
        <w:rPr>
          <w:rFonts w:ascii="Arial" w:hAnsi="Arial" w:cs="Arial"/>
          <w:sz w:val="22"/>
          <w:szCs w:val="24"/>
          <w:lang w:val="en-GB"/>
        </w:rPr>
        <w:t>Sample Size:</w:t>
      </w:r>
      <w:r w:rsidR="006A3B8F" w:rsidRPr="006A3B8F">
        <w:rPr>
          <w:rFonts w:ascii="Arial" w:hAnsi="Arial" w:cs="Arial"/>
          <w:sz w:val="22"/>
          <w:szCs w:val="24"/>
          <w:lang w:val="en-GB"/>
        </w:rPr>
        <w:t xml:space="preserve"> </w:t>
      </w:r>
      <w:r w:rsidR="00FA10FE">
        <w:rPr>
          <w:rFonts w:ascii="Arial" w:hAnsi="Arial" w:cs="Arial"/>
          <w:sz w:val="22"/>
          <w:szCs w:val="24"/>
          <w:lang w:val="en-GB"/>
        </w:rPr>
        <w:t>21-30</w:t>
      </w:r>
    </w:p>
    <w:p w14:paraId="0CF8774B" w14:textId="77777777" w:rsidR="00DC6203" w:rsidRPr="008947FB" w:rsidRDefault="00DC6203" w:rsidP="00DC6203">
      <w:pPr>
        <w:jc w:val="both"/>
        <w:rPr>
          <w:rFonts w:ascii="Arial" w:hAnsi="Arial"/>
          <w:b/>
          <w:sz w:val="22"/>
          <w:szCs w:val="22"/>
          <w:highlight w:val="yellow"/>
          <w:lang w:val="en-GB"/>
        </w:rPr>
      </w:pPr>
    </w:p>
    <w:p w14:paraId="2AA5BD6A" w14:textId="319F26CA" w:rsidR="00074A0A" w:rsidRPr="009E0CFB" w:rsidRDefault="00074A0A" w:rsidP="00074A0A">
      <w:pPr>
        <w:jc w:val="both"/>
        <w:rPr>
          <w:rFonts w:ascii="Arial" w:hAnsi="Arial"/>
          <w:b/>
          <w:sz w:val="22"/>
          <w:szCs w:val="22"/>
          <w:lang w:val="en-GB"/>
        </w:rPr>
      </w:pPr>
      <w:r w:rsidRPr="00B31340">
        <w:rPr>
          <w:rFonts w:ascii="Arial" w:hAnsi="Arial"/>
          <w:b/>
          <w:sz w:val="22"/>
          <w:szCs w:val="22"/>
          <w:lang w:val="en-GB"/>
        </w:rPr>
        <w:t xml:space="preserve">Figure </w:t>
      </w:r>
      <w:r w:rsidR="00F71C30" w:rsidRPr="00B31340">
        <w:rPr>
          <w:rFonts w:ascii="Arial" w:hAnsi="Arial"/>
          <w:b/>
          <w:sz w:val="22"/>
          <w:szCs w:val="22"/>
          <w:lang w:val="en-GB"/>
        </w:rPr>
        <w:t>7</w:t>
      </w:r>
      <w:r w:rsidRPr="00B31340">
        <w:rPr>
          <w:rFonts w:ascii="Arial" w:hAnsi="Arial"/>
          <w:b/>
          <w:sz w:val="22"/>
          <w:szCs w:val="22"/>
          <w:lang w:val="en-GB"/>
        </w:rPr>
        <w:t xml:space="preserve">: Platform (Normally </w:t>
      </w:r>
      <w:r w:rsidR="006A619D" w:rsidRPr="00B31340">
        <w:rPr>
          <w:rFonts w:ascii="Arial" w:hAnsi="Arial"/>
          <w:b/>
          <w:sz w:val="22"/>
          <w:szCs w:val="22"/>
          <w:lang w:val="en-GB"/>
        </w:rPr>
        <w:t>Unattended</w:t>
      </w:r>
      <w:r w:rsidRPr="00B31340">
        <w:rPr>
          <w:rFonts w:ascii="Arial" w:hAnsi="Arial"/>
          <w:b/>
          <w:sz w:val="22"/>
          <w:szCs w:val="22"/>
          <w:lang w:val="en-GB"/>
        </w:rPr>
        <w:t xml:space="preserve">) Running Cost distribution: SNS &amp; </w:t>
      </w:r>
      <w:r w:rsidR="003A6BAA" w:rsidRPr="00B31340">
        <w:rPr>
          <w:rFonts w:ascii="Arial" w:hAnsi="Arial"/>
          <w:b/>
          <w:sz w:val="22"/>
          <w:szCs w:val="22"/>
          <w:lang w:val="en-GB"/>
        </w:rPr>
        <w:t>E</w:t>
      </w:r>
      <w:r w:rsidRPr="00B31340">
        <w:rPr>
          <w:rFonts w:ascii="Arial" w:hAnsi="Arial"/>
          <w:b/>
          <w:sz w:val="22"/>
          <w:szCs w:val="22"/>
          <w:lang w:val="en-GB"/>
        </w:rPr>
        <w:t>IS</w:t>
      </w:r>
    </w:p>
    <w:p w14:paraId="3360486D" w14:textId="3A99474C" w:rsidR="00074A0A" w:rsidRDefault="00074A0A" w:rsidP="00074A0A">
      <w:pPr>
        <w:jc w:val="both"/>
        <w:rPr>
          <w:rFonts w:ascii="Arial" w:hAnsi="Arial" w:cs="Arial"/>
          <w:sz w:val="22"/>
          <w:szCs w:val="24"/>
          <w:lang w:val="en-GB"/>
        </w:rPr>
      </w:pPr>
    </w:p>
    <w:p w14:paraId="519B9065" w14:textId="02B89DF9" w:rsidR="00251E43" w:rsidRPr="009E0CFB" w:rsidRDefault="00ED296C" w:rsidP="00074A0A">
      <w:pPr>
        <w:jc w:val="both"/>
        <w:rPr>
          <w:rFonts w:ascii="Arial" w:hAnsi="Arial" w:cs="Arial"/>
          <w:sz w:val="22"/>
          <w:szCs w:val="24"/>
          <w:lang w:val="en-GB"/>
        </w:rPr>
      </w:pPr>
      <w:r>
        <w:rPr>
          <w:rFonts w:ascii="Arial" w:hAnsi="Arial" w:cs="Arial"/>
          <w:noProof/>
          <w:sz w:val="22"/>
          <w:szCs w:val="24"/>
          <w:lang w:val="en-GB"/>
        </w:rPr>
        <w:drawing>
          <wp:inline distT="0" distB="0" distL="0" distR="0" wp14:anchorId="6B1FCB37" wp14:editId="3E0575D8">
            <wp:extent cx="4691806" cy="27355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1663" cy="2747158"/>
                    </a:xfrm>
                    <a:prstGeom prst="rect">
                      <a:avLst/>
                    </a:prstGeom>
                    <a:noFill/>
                  </pic:spPr>
                </pic:pic>
              </a:graphicData>
            </a:graphic>
          </wp:inline>
        </w:drawing>
      </w:r>
      <w:r w:rsidR="00066C06" w:rsidRPr="00066C06">
        <w:rPr>
          <w:rFonts w:ascii="Arial" w:hAnsi="Arial" w:cs="Arial"/>
          <w:sz w:val="22"/>
          <w:szCs w:val="24"/>
          <w:lang w:val="en-GB"/>
        </w:rPr>
        <w:t xml:space="preserve"> </w:t>
      </w:r>
      <w:r w:rsidR="00A0165F" w:rsidRPr="00A0165F">
        <w:rPr>
          <w:noProof/>
        </w:rPr>
        <w:drawing>
          <wp:inline distT="0" distB="0" distL="0" distR="0" wp14:anchorId="585441A5" wp14:editId="5035E83D">
            <wp:extent cx="1300480" cy="652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0480" cy="652780"/>
                    </a:xfrm>
                    <a:prstGeom prst="rect">
                      <a:avLst/>
                    </a:prstGeom>
                    <a:noFill/>
                    <a:ln>
                      <a:noFill/>
                    </a:ln>
                  </pic:spPr>
                </pic:pic>
              </a:graphicData>
            </a:graphic>
          </wp:inline>
        </w:drawing>
      </w:r>
    </w:p>
    <w:p w14:paraId="0FC74AED" w14:textId="569DBB1F" w:rsidR="00074A0A" w:rsidRPr="009E0CFB" w:rsidRDefault="00074A0A">
      <w:pPr>
        <w:ind w:firstLine="1701"/>
        <w:jc w:val="both"/>
        <w:rPr>
          <w:rFonts w:ascii="Arial" w:hAnsi="Arial" w:cs="Arial"/>
          <w:sz w:val="22"/>
          <w:szCs w:val="24"/>
          <w:lang w:val="en-GB"/>
        </w:rPr>
      </w:pPr>
    </w:p>
    <w:p w14:paraId="6B922AF4" w14:textId="7C6D4A31" w:rsidR="00074A0A" w:rsidRPr="009E0CFB" w:rsidRDefault="00074A0A" w:rsidP="00074A0A">
      <w:pPr>
        <w:jc w:val="both"/>
        <w:rPr>
          <w:rFonts w:ascii="Arial" w:hAnsi="Arial" w:cs="Arial"/>
          <w:sz w:val="22"/>
          <w:szCs w:val="24"/>
          <w:lang w:val="en-GB"/>
        </w:rPr>
      </w:pPr>
    </w:p>
    <w:bookmarkEnd w:id="124"/>
    <w:p w14:paraId="5BA3415D" w14:textId="48C6AF68" w:rsidR="00074A0A" w:rsidRDefault="00D61D62">
      <w:pPr>
        <w:rPr>
          <w:rFonts w:ascii="Arial" w:hAnsi="Arial"/>
          <w:b/>
          <w:sz w:val="22"/>
          <w:szCs w:val="22"/>
          <w:lang w:val="en-GB"/>
        </w:rPr>
      </w:pPr>
      <w:r w:rsidRPr="00D61D62">
        <w:rPr>
          <w:rFonts w:ascii="Arial" w:hAnsi="Arial"/>
          <w:b/>
          <w:noProof/>
          <w:sz w:val="22"/>
          <w:szCs w:val="22"/>
          <w:lang w:val="en-GB"/>
        </w:rPr>
        <w:drawing>
          <wp:inline distT="0" distB="0" distL="0" distR="0" wp14:anchorId="0944156E" wp14:editId="210CDEEE">
            <wp:extent cx="4737216" cy="2928313"/>
            <wp:effectExtent l="0" t="0" r="635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78924" cy="2954095"/>
                    </a:xfrm>
                    <a:prstGeom prst="rect">
                      <a:avLst/>
                    </a:prstGeom>
                  </pic:spPr>
                </pic:pic>
              </a:graphicData>
            </a:graphic>
          </wp:inline>
        </w:drawing>
      </w:r>
      <w:r w:rsidR="00074A0A">
        <w:rPr>
          <w:rFonts w:ascii="Arial" w:hAnsi="Arial"/>
          <w:b/>
          <w:sz w:val="22"/>
          <w:szCs w:val="22"/>
          <w:lang w:val="en-GB"/>
        </w:rPr>
        <w:br w:type="page"/>
      </w:r>
    </w:p>
    <w:p w14:paraId="1092E752" w14:textId="763914A6" w:rsidR="008273DB" w:rsidRPr="00546B6B" w:rsidRDefault="009019DC" w:rsidP="00F1757D">
      <w:pPr>
        <w:pStyle w:val="Heading1"/>
        <w:jc w:val="left"/>
        <w:rPr>
          <w:lang w:val="en-GB"/>
        </w:rPr>
      </w:pPr>
      <w:bookmarkStart w:id="126" w:name="_Toc85627561"/>
      <w:r w:rsidRPr="00F1757D">
        <w:rPr>
          <w:lang w:val="en-GB"/>
        </w:rPr>
        <w:t>4.</w:t>
      </w:r>
      <w:r w:rsidR="00546B6B">
        <w:rPr>
          <w:lang w:val="en-GB"/>
        </w:rPr>
        <w:t>4</w:t>
      </w:r>
      <w:r w:rsidRPr="00F1757D">
        <w:rPr>
          <w:lang w:val="en-GB"/>
        </w:rPr>
        <w:t xml:space="preserve"> </w:t>
      </w:r>
      <w:r w:rsidR="007B3C1D" w:rsidRPr="00F1757D">
        <w:rPr>
          <w:lang w:val="en-GB"/>
        </w:rPr>
        <w:t xml:space="preserve">FPSO Post-CoP </w:t>
      </w:r>
      <w:r w:rsidR="008273DB" w:rsidRPr="00F1757D">
        <w:rPr>
          <w:lang w:val="en-GB"/>
        </w:rPr>
        <w:t>Running Costs in the NNS &amp; CNS</w:t>
      </w:r>
      <w:bookmarkEnd w:id="126"/>
    </w:p>
    <w:p w14:paraId="6EC0FEBE" w14:textId="77777777" w:rsidR="008273DB" w:rsidRPr="008947FB" w:rsidRDefault="008273DB" w:rsidP="009019DC">
      <w:pPr>
        <w:ind w:left="720"/>
        <w:jc w:val="both"/>
        <w:rPr>
          <w:rFonts w:ascii="Arial" w:hAnsi="Arial" w:cs="Arial"/>
          <w:sz w:val="22"/>
          <w:szCs w:val="24"/>
          <w:highlight w:val="yellow"/>
          <w:lang w:val="en-GB"/>
        </w:rPr>
      </w:pPr>
    </w:p>
    <w:p w14:paraId="63FA723C" w14:textId="3232AC21" w:rsidR="00461E89" w:rsidRPr="00461E89" w:rsidRDefault="00801FAE" w:rsidP="00F1757D">
      <w:pPr>
        <w:rPr>
          <w:rFonts w:ascii="Arial" w:hAnsi="Arial" w:cs="Arial"/>
          <w:sz w:val="22"/>
          <w:szCs w:val="24"/>
          <w:lang w:val="en-GB"/>
        </w:rPr>
      </w:pPr>
      <w:r w:rsidRPr="00824218">
        <w:rPr>
          <w:rFonts w:ascii="Arial" w:hAnsi="Arial" w:cs="Arial"/>
          <w:sz w:val="22"/>
          <w:szCs w:val="24"/>
          <w:lang w:val="en-GB"/>
        </w:rPr>
        <w:t xml:space="preserve">Metric </w:t>
      </w:r>
      <w:r w:rsidR="0007117A" w:rsidRPr="00824218">
        <w:rPr>
          <w:rFonts w:ascii="Arial" w:hAnsi="Arial" w:cs="Arial"/>
          <w:sz w:val="22"/>
          <w:szCs w:val="24"/>
          <w:lang w:val="en-GB"/>
        </w:rPr>
        <w:t xml:space="preserve">reflects a </w:t>
      </w:r>
      <w:r w:rsidR="002A24DA" w:rsidRPr="00824218">
        <w:rPr>
          <w:rFonts w:ascii="Arial" w:hAnsi="Arial" w:cs="Arial"/>
          <w:sz w:val="22"/>
          <w:szCs w:val="24"/>
          <w:lang w:val="en-GB"/>
        </w:rPr>
        <w:t>material</w:t>
      </w:r>
      <w:r w:rsidR="0007117A" w:rsidRPr="00824218">
        <w:rPr>
          <w:rFonts w:ascii="Arial" w:hAnsi="Arial" w:cs="Arial"/>
          <w:sz w:val="22"/>
          <w:szCs w:val="24"/>
          <w:lang w:val="en-GB"/>
        </w:rPr>
        <w:t xml:space="preserve"> change </w:t>
      </w:r>
      <w:r w:rsidR="0058575A" w:rsidRPr="00824218">
        <w:rPr>
          <w:rFonts w:ascii="Arial" w:hAnsi="Arial" w:cs="Arial"/>
          <w:sz w:val="22"/>
          <w:szCs w:val="24"/>
          <w:lang w:val="en-GB"/>
        </w:rPr>
        <w:t xml:space="preserve">however </w:t>
      </w:r>
      <w:r w:rsidR="006678D9" w:rsidRPr="00824218">
        <w:rPr>
          <w:rFonts w:ascii="Arial" w:hAnsi="Arial" w:cs="Arial"/>
          <w:sz w:val="22"/>
          <w:szCs w:val="24"/>
          <w:lang w:val="en-GB"/>
        </w:rPr>
        <w:t xml:space="preserve">this </w:t>
      </w:r>
      <w:r w:rsidR="00BC7D67">
        <w:rPr>
          <w:rFonts w:ascii="Arial" w:hAnsi="Arial" w:cs="Arial"/>
          <w:sz w:val="22"/>
          <w:szCs w:val="24"/>
          <w:lang w:val="en-GB"/>
        </w:rPr>
        <w:t xml:space="preserve">is </w:t>
      </w:r>
      <w:r w:rsidR="00E9113D">
        <w:rPr>
          <w:rFonts w:ascii="Arial" w:hAnsi="Arial" w:cs="Arial"/>
          <w:sz w:val="22"/>
          <w:szCs w:val="24"/>
          <w:lang w:val="en-GB"/>
        </w:rPr>
        <w:t>a function</w:t>
      </w:r>
      <w:r w:rsidR="006678D9" w:rsidRPr="00824218">
        <w:rPr>
          <w:rFonts w:ascii="Arial" w:hAnsi="Arial" w:cs="Arial"/>
          <w:sz w:val="22"/>
          <w:szCs w:val="24"/>
          <w:lang w:val="en-GB"/>
        </w:rPr>
        <w:t xml:space="preserve"> of the </w:t>
      </w:r>
      <w:r w:rsidR="00B4657A" w:rsidRPr="00824218">
        <w:rPr>
          <w:rFonts w:ascii="Arial" w:hAnsi="Arial" w:cs="Arial"/>
          <w:sz w:val="22"/>
          <w:szCs w:val="24"/>
          <w:lang w:val="en-GB"/>
        </w:rPr>
        <w:t>relative</w:t>
      </w:r>
      <w:r w:rsidR="006678D9" w:rsidRPr="00824218">
        <w:rPr>
          <w:rFonts w:ascii="Arial" w:hAnsi="Arial" w:cs="Arial"/>
          <w:sz w:val="22"/>
          <w:szCs w:val="24"/>
          <w:lang w:val="en-GB"/>
        </w:rPr>
        <w:t>ly</w:t>
      </w:r>
      <w:r w:rsidR="00B4657A" w:rsidRPr="00824218">
        <w:rPr>
          <w:rFonts w:ascii="Arial" w:hAnsi="Arial" w:cs="Arial"/>
          <w:sz w:val="22"/>
          <w:szCs w:val="24"/>
          <w:lang w:val="en-GB"/>
        </w:rPr>
        <w:t xml:space="preserve"> small </w:t>
      </w:r>
      <w:r w:rsidR="0047741B" w:rsidRPr="00824218">
        <w:rPr>
          <w:rFonts w:ascii="Arial" w:hAnsi="Arial" w:cs="Arial"/>
          <w:sz w:val="22"/>
          <w:szCs w:val="24"/>
          <w:lang w:val="en-GB"/>
        </w:rPr>
        <w:t xml:space="preserve">sample size and </w:t>
      </w:r>
      <w:r w:rsidR="00504A7E" w:rsidRPr="00824218">
        <w:rPr>
          <w:rFonts w:ascii="Arial" w:hAnsi="Arial" w:cs="Arial"/>
          <w:sz w:val="22"/>
          <w:szCs w:val="24"/>
          <w:lang w:val="en-GB"/>
        </w:rPr>
        <w:t xml:space="preserve">infrequent </w:t>
      </w:r>
      <w:r w:rsidR="006678D9" w:rsidRPr="00824218">
        <w:rPr>
          <w:rFonts w:ascii="Arial" w:hAnsi="Arial" w:cs="Arial"/>
          <w:sz w:val="22"/>
          <w:szCs w:val="24"/>
          <w:lang w:val="en-GB"/>
        </w:rPr>
        <w:t>nature of th</w:t>
      </w:r>
      <w:r w:rsidR="003063A0">
        <w:rPr>
          <w:rFonts w:ascii="Arial" w:hAnsi="Arial" w:cs="Arial"/>
          <w:sz w:val="22"/>
          <w:szCs w:val="24"/>
          <w:lang w:val="en-GB"/>
        </w:rPr>
        <w:t>is</w:t>
      </w:r>
      <w:r w:rsidR="006678D9" w:rsidRPr="00824218">
        <w:rPr>
          <w:rFonts w:ascii="Arial" w:hAnsi="Arial" w:cs="Arial"/>
          <w:sz w:val="22"/>
          <w:szCs w:val="24"/>
          <w:lang w:val="en-GB"/>
        </w:rPr>
        <w:t xml:space="preserve"> </w:t>
      </w:r>
      <w:r w:rsidR="00824218" w:rsidRPr="00824218">
        <w:rPr>
          <w:rFonts w:ascii="Arial" w:hAnsi="Arial" w:cs="Arial"/>
          <w:sz w:val="22"/>
          <w:szCs w:val="24"/>
          <w:lang w:val="en-GB"/>
        </w:rPr>
        <w:t xml:space="preserve">decommissioning </w:t>
      </w:r>
      <w:r w:rsidR="006678D9" w:rsidRPr="00824218">
        <w:rPr>
          <w:rFonts w:ascii="Arial" w:hAnsi="Arial" w:cs="Arial"/>
          <w:sz w:val="22"/>
          <w:szCs w:val="24"/>
          <w:lang w:val="en-GB"/>
        </w:rPr>
        <w:t>activity</w:t>
      </w:r>
      <w:r w:rsidR="00824218" w:rsidRPr="00824218">
        <w:rPr>
          <w:rFonts w:ascii="Arial" w:hAnsi="Arial" w:cs="Arial"/>
          <w:sz w:val="22"/>
          <w:szCs w:val="24"/>
          <w:lang w:val="en-GB"/>
        </w:rPr>
        <w:t xml:space="preserve"> </w:t>
      </w:r>
      <w:r w:rsidR="00FA07FB">
        <w:rPr>
          <w:rFonts w:ascii="Arial" w:hAnsi="Arial" w:cs="Arial"/>
          <w:sz w:val="22"/>
          <w:szCs w:val="24"/>
          <w:lang w:val="en-GB"/>
        </w:rPr>
        <w:t>across</w:t>
      </w:r>
      <w:r w:rsidR="00824218" w:rsidRPr="00824218">
        <w:rPr>
          <w:rFonts w:ascii="Arial" w:hAnsi="Arial" w:cs="Arial"/>
          <w:sz w:val="22"/>
          <w:szCs w:val="24"/>
          <w:lang w:val="en-GB"/>
        </w:rPr>
        <w:t xml:space="preserve"> UKCS.</w:t>
      </w:r>
      <w:r w:rsidR="00F62293">
        <w:rPr>
          <w:rFonts w:ascii="Arial" w:hAnsi="Arial" w:cs="Arial"/>
          <w:sz w:val="22"/>
          <w:szCs w:val="24"/>
          <w:lang w:val="en-GB"/>
        </w:rPr>
        <w:t xml:space="preserve"> </w:t>
      </w:r>
      <w:r w:rsidR="0093754C">
        <w:rPr>
          <w:rFonts w:ascii="Arial" w:hAnsi="Arial" w:cs="Arial"/>
          <w:sz w:val="22"/>
          <w:szCs w:val="24"/>
          <w:lang w:val="en-GB"/>
        </w:rPr>
        <w:t>The notable increase in 4</w:t>
      </w:r>
      <w:r w:rsidR="0093754C" w:rsidRPr="0093754C">
        <w:rPr>
          <w:rFonts w:ascii="Arial" w:hAnsi="Arial" w:cs="Arial"/>
          <w:sz w:val="22"/>
          <w:szCs w:val="24"/>
          <w:vertAlign w:val="superscript"/>
          <w:lang w:val="en-GB"/>
        </w:rPr>
        <w:t>th</w:t>
      </w:r>
      <w:r w:rsidR="0093754C">
        <w:rPr>
          <w:rFonts w:ascii="Arial" w:hAnsi="Arial" w:cs="Arial"/>
          <w:sz w:val="22"/>
          <w:szCs w:val="24"/>
          <w:lang w:val="en-GB"/>
        </w:rPr>
        <w:t xml:space="preserve"> quartile costs is </w:t>
      </w:r>
      <w:r w:rsidR="009028BB">
        <w:rPr>
          <w:rFonts w:ascii="Arial" w:hAnsi="Arial" w:cs="Arial"/>
          <w:sz w:val="22"/>
          <w:szCs w:val="24"/>
          <w:lang w:val="en-GB"/>
        </w:rPr>
        <w:t>largely</w:t>
      </w:r>
      <w:r w:rsidR="00694F19">
        <w:rPr>
          <w:rFonts w:ascii="Arial" w:hAnsi="Arial" w:cs="Arial"/>
          <w:sz w:val="22"/>
          <w:szCs w:val="24"/>
          <w:lang w:val="en-GB"/>
        </w:rPr>
        <w:t xml:space="preserve"> </w:t>
      </w:r>
      <w:r w:rsidR="00C71377">
        <w:rPr>
          <w:rFonts w:ascii="Arial" w:hAnsi="Arial" w:cs="Arial"/>
          <w:sz w:val="22"/>
          <w:szCs w:val="24"/>
          <w:lang w:val="en-GB"/>
        </w:rPr>
        <w:t xml:space="preserve">due to extended </w:t>
      </w:r>
      <w:r w:rsidR="00645BF2">
        <w:rPr>
          <w:rFonts w:ascii="Arial" w:hAnsi="Arial" w:cs="Arial"/>
          <w:sz w:val="22"/>
          <w:szCs w:val="24"/>
          <w:lang w:val="en-GB"/>
        </w:rPr>
        <w:t xml:space="preserve">post-CoP </w:t>
      </w:r>
      <w:r w:rsidR="00C71377" w:rsidRPr="00C71377">
        <w:rPr>
          <w:rFonts w:ascii="Arial" w:hAnsi="Arial" w:cs="Arial"/>
          <w:sz w:val="22"/>
          <w:szCs w:val="24"/>
          <w:lang w:val="en-GB"/>
        </w:rPr>
        <w:t>shutdown</w:t>
      </w:r>
      <w:r w:rsidR="00645BF2">
        <w:rPr>
          <w:rFonts w:ascii="Arial" w:hAnsi="Arial" w:cs="Arial"/>
          <w:sz w:val="22"/>
          <w:szCs w:val="24"/>
          <w:lang w:val="en-GB"/>
        </w:rPr>
        <w:t>s</w:t>
      </w:r>
      <w:r w:rsidR="00694F19">
        <w:rPr>
          <w:rFonts w:ascii="Arial" w:hAnsi="Arial" w:cs="Arial"/>
          <w:sz w:val="22"/>
          <w:szCs w:val="24"/>
          <w:lang w:val="en-GB"/>
        </w:rPr>
        <w:t xml:space="preserve"> plus delays in</w:t>
      </w:r>
      <w:r w:rsidR="00C71377" w:rsidRPr="00C71377">
        <w:rPr>
          <w:rFonts w:ascii="Arial" w:hAnsi="Arial" w:cs="Arial"/>
          <w:sz w:val="22"/>
          <w:szCs w:val="24"/>
          <w:lang w:val="en-GB"/>
        </w:rPr>
        <w:t xml:space="preserve"> cleaning and removal from station</w:t>
      </w:r>
      <w:r w:rsidR="005F2465">
        <w:rPr>
          <w:rFonts w:ascii="Arial" w:hAnsi="Arial" w:cs="Arial"/>
          <w:sz w:val="22"/>
          <w:szCs w:val="24"/>
          <w:lang w:val="en-GB"/>
        </w:rPr>
        <w:t xml:space="preserve"> </w:t>
      </w:r>
      <w:r w:rsidR="00B07F44">
        <w:rPr>
          <w:rFonts w:ascii="Arial" w:hAnsi="Arial" w:cs="Arial"/>
          <w:sz w:val="22"/>
          <w:szCs w:val="24"/>
          <w:lang w:val="en-GB"/>
        </w:rPr>
        <w:t>for certain recent projects</w:t>
      </w:r>
      <w:r w:rsidR="00C71377" w:rsidRPr="00C71377">
        <w:rPr>
          <w:rFonts w:ascii="Arial" w:hAnsi="Arial" w:cs="Arial"/>
          <w:sz w:val="22"/>
          <w:szCs w:val="24"/>
          <w:lang w:val="en-GB"/>
        </w:rPr>
        <w:t>.</w:t>
      </w:r>
    </w:p>
    <w:p w14:paraId="1B37A229" w14:textId="77777777" w:rsidR="006A3B8F" w:rsidRDefault="006A3B8F" w:rsidP="00F1757D">
      <w:pPr>
        <w:rPr>
          <w:rFonts w:ascii="Arial" w:hAnsi="Arial" w:cs="Arial"/>
          <w:sz w:val="22"/>
          <w:szCs w:val="24"/>
          <w:lang w:val="en-GB"/>
        </w:rPr>
      </w:pPr>
    </w:p>
    <w:p w14:paraId="0DC7271E" w14:textId="4F147DE7" w:rsidR="006A3B8F" w:rsidRPr="00824218" w:rsidRDefault="006A3B8F" w:rsidP="00F1757D">
      <w:pPr>
        <w:rPr>
          <w:rFonts w:ascii="Arial" w:hAnsi="Arial"/>
          <w:b/>
          <w:sz w:val="22"/>
          <w:szCs w:val="22"/>
          <w:lang w:val="en-GB"/>
        </w:rPr>
      </w:pPr>
      <w:r>
        <w:rPr>
          <w:rFonts w:ascii="Arial" w:hAnsi="Arial" w:cs="Arial"/>
          <w:sz w:val="22"/>
          <w:szCs w:val="24"/>
          <w:lang w:val="en-GB"/>
        </w:rPr>
        <w:t xml:space="preserve">Sample Size: </w:t>
      </w:r>
      <w:r w:rsidR="003C1CF6" w:rsidRPr="003C1CF6">
        <w:rPr>
          <w:rFonts w:ascii="Arial" w:hAnsi="Arial" w:cs="Arial"/>
          <w:sz w:val="22"/>
          <w:szCs w:val="24"/>
          <w:lang w:val="en-GB"/>
        </w:rPr>
        <w:t>5-10</w:t>
      </w:r>
    </w:p>
    <w:p w14:paraId="2760D2A2" w14:textId="77777777" w:rsidR="008273DB" w:rsidRPr="008947FB" w:rsidRDefault="008273DB" w:rsidP="00AA1E56">
      <w:pPr>
        <w:rPr>
          <w:rFonts w:ascii="Arial" w:hAnsi="Arial"/>
          <w:b/>
          <w:sz w:val="22"/>
          <w:szCs w:val="22"/>
          <w:highlight w:val="yellow"/>
          <w:lang w:val="en-GB"/>
        </w:rPr>
      </w:pPr>
    </w:p>
    <w:p w14:paraId="7E44F260" w14:textId="66C1167A" w:rsidR="00AA1E56" w:rsidRPr="00AA1E56" w:rsidRDefault="00074A0A" w:rsidP="00AA1E56">
      <w:pPr>
        <w:rPr>
          <w:rFonts w:ascii="Arial" w:hAnsi="Arial"/>
          <w:b/>
          <w:sz w:val="22"/>
          <w:szCs w:val="22"/>
          <w:lang w:val="en-GB"/>
        </w:rPr>
      </w:pPr>
      <w:r w:rsidRPr="00803D14">
        <w:rPr>
          <w:rFonts w:ascii="Arial" w:hAnsi="Arial"/>
          <w:b/>
          <w:sz w:val="22"/>
          <w:szCs w:val="22"/>
          <w:lang w:val="en-GB"/>
        </w:rPr>
        <w:t xml:space="preserve">Figure </w:t>
      </w:r>
      <w:r w:rsidR="00F71C30" w:rsidRPr="00803D14">
        <w:rPr>
          <w:rFonts w:ascii="Arial" w:hAnsi="Arial"/>
          <w:b/>
          <w:sz w:val="22"/>
          <w:szCs w:val="22"/>
          <w:lang w:val="en-GB"/>
        </w:rPr>
        <w:t>8</w:t>
      </w:r>
      <w:r w:rsidRPr="00803D14">
        <w:rPr>
          <w:rFonts w:ascii="Arial" w:hAnsi="Arial"/>
          <w:b/>
          <w:sz w:val="22"/>
          <w:szCs w:val="22"/>
          <w:lang w:val="en-GB"/>
        </w:rPr>
        <w:t xml:space="preserve">: FPSO Post-CoP Running Cost distribution: </w:t>
      </w:r>
      <w:r w:rsidR="008161A5" w:rsidRPr="00803D14">
        <w:rPr>
          <w:rFonts w:ascii="Arial" w:hAnsi="Arial"/>
          <w:b/>
          <w:sz w:val="22"/>
          <w:szCs w:val="22"/>
          <w:lang w:val="en-GB"/>
        </w:rPr>
        <w:t>NNS &amp; CNS</w:t>
      </w:r>
    </w:p>
    <w:p w14:paraId="672C1FCC" w14:textId="3ACCAA39" w:rsidR="001571BE" w:rsidRDefault="001571BE" w:rsidP="003E7E85">
      <w:pPr>
        <w:rPr>
          <w:rFonts w:ascii="Arial" w:hAnsi="Arial"/>
          <w:b/>
          <w:sz w:val="22"/>
          <w:szCs w:val="22"/>
          <w:lang w:val="en-GB"/>
        </w:rPr>
      </w:pPr>
    </w:p>
    <w:p w14:paraId="3F9BC1A7" w14:textId="3965955C" w:rsidR="00487707" w:rsidRPr="00487707" w:rsidRDefault="00487707" w:rsidP="00487707">
      <w:pPr>
        <w:rPr>
          <w:rFonts w:ascii="Arial" w:hAnsi="Arial"/>
          <w:b/>
          <w:sz w:val="22"/>
          <w:szCs w:val="22"/>
          <w:lang w:val="en-GB"/>
        </w:rPr>
      </w:pPr>
    </w:p>
    <w:p w14:paraId="38A4DA1B" w14:textId="122214A6" w:rsidR="00C62094" w:rsidRDefault="002D0B84">
      <w:pPr>
        <w:rPr>
          <w:rFonts w:ascii="Arial" w:hAnsi="Arial"/>
          <w:b/>
          <w:sz w:val="22"/>
          <w:szCs w:val="22"/>
          <w:lang w:val="en-GB"/>
        </w:rPr>
      </w:pPr>
      <w:r>
        <w:rPr>
          <w:rFonts w:ascii="Arial" w:hAnsi="Arial"/>
          <w:b/>
          <w:noProof/>
          <w:sz w:val="22"/>
          <w:szCs w:val="22"/>
          <w:lang w:val="en-GB"/>
        </w:rPr>
        <w:drawing>
          <wp:inline distT="0" distB="0" distL="0" distR="0" wp14:anchorId="4F6646C2" wp14:editId="74A8E492">
            <wp:extent cx="3998646" cy="2139803"/>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6113" cy="2143799"/>
                    </a:xfrm>
                    <a:prstGeom prst="rect">
                      <a:avLst/>
                    </a:prstGeom>
                    <a:noFill/>
                  </pic:spPr>
                </pic:pic>
              </a:graphicData>
            </a:graphic>
          </wp:inline>
        </w:drawing>
      </w:r>
      <w:r w:rsidR="00411CBA" w:rsidRPr="00411CBA">
        <w:rPr>
          <w:rFonts w:ascii="Arial" w:hAnsi="Arial"/>
          <w:b/>
          <w:sz w:val="22"/>
          <w:szCs w:val="22"/>
          <w:lang w:val="en-GB"/>
        </w:rPr>
        <w:t xml:space="preserve">  </w:t>
      </w:r>
      <w:r w:rsidR="000A2634" w:rsidRPr="000A2634">
        <w:rPr>
          <w:noProof/>
        </w:rPr>
        <w:drawing>
          <wp:inline distT="0" distB="0" distL="0" distR="0" wp14:anchorId="1DC1B8F0" wp14:editId="16E8E7D8">
            <wp:extent cx="1299845" cy="6375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9845" cy="637540"/>
                    </a:xfrm>
                    <a:prstGeom prst="rect">
                      <a:avLst/>
                    </a:prstGeom>
                    <a:noFill/>
                    <a:ln>
                      <a:noFill/>
                    </a:ln>
                  </pic:spPr>
                </pic:pic>
              </a:graphicData>
            </a:graphic>
          </wp:inline>
        </w:drawing>
      </w:r>
    </w:p>
    <w:p w14:paraId="4363929C" w14:textId="51D9E48C" w:rsidR="00C62094" w:rsidRDefault="00C62094">
      <w:pPr>
        <w:rPr>
          <w:rFonts w:ascii="Arial" w:hAnsi="Arial"/>
          <w:b/>
          <w:sz w:val="22"/>
          <w:szCs w:val="22"/>
          <w:lang w:val="en-GB"/>
        </w:rPr>
      </w:pPr>
    </w:p>
    <w:p w14:paraId="53ED23D8" w14:textId="06324695" w:rsidR="00031923" w:rsidRDefault="003E5B55">
      <w:pPr>
        <w:rPr>
          <w:rFonts w:ascii="Arial" w:hAnsi="Arial"/>
          <w:b/>
          <w:sz w:val="22"/>
          <w:szCs w:val="22"/>
          <w:lang w:val="en-GB"/>
        </w:rPr>
      </w:pPr>
      <w:r w:rsidRPr="003E5B55">
        <w:rPr>
          <w:rFonts w:ascii="Arial" w:hAnsi="Arial"/>
          <w:b/>
          <w:noProof/>
          <w:sz w:val="22"/>
          <w:szCs w:val="22"/>
          <w:lang w:val="en-GB"/>
        </w:rPr>
        <w:drawing>
          <wp:inline distT="0" distB="0" distL="0" distR="0" wp14:anchorId="51CA668B" wp14:editId="3F55117E">
            <wp:extent cx="4774650" cy="2955736"/>
            <wp:effectExtent l="0" t="0" r="698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80180" cy="2959160"/>
                    </a:xfrm>
                    <a:prstGeom prst="rect">
                      <a:avLst/>
                    </a:prstGeom>
                  </pic:spPr>
                </pic:pic>
              </a:graphicData>
            </a:graphic>
          </wp:inline>
        </w:drawing>
      </w:r>
    </w:p>
    <w:p w14:paraId="6D6BCD7C" w14:textId="77777777" w:rsidR="00031923" w:rsidRDefault="00031923">
      <w:pPr>
        <w:rPr>
          <w:rFonts w:ascii="Arial" w:hAnsi="Arial"/>
          <w:b/>
          <w:sz w:val="22"/>
          <w:szCs w:val="22"/>
          <w:lang w:val="en-GB"/>
        </w:rPr>
      </w:pPr>
    </w:p>
    <w:p w14:paraId="191D79D4" w14:textId="77777777" w:rsidR="00031923" w:rsidRDefault="00031923">
      <w:pPr>
        <w:rPr>
          <w:rFonts w:ascii="Arial" w:hAnsi="Arial"/>
          <w:b/>
          <w:sz w:val="22"/>
          <w:szCs w:val="22"/>
          <w:lang w:val="en-GB"/>
        </w:rPr>
      </w:pPr>
    </w:p>
    <w:p w14:paraId="7A6671E1" w14:textId="77777777" w:rsidR="00031923" w:rsidRPr="00546B6B" w:rsidRDefault="00031923" w:rsidP="00031923"/>
    <w:p w14:paraId="472BB595" w14:textId="75273F4F" w:rsidR="00031923" w:rsidRPr="00546B6B" w:rsidRDefault="00031923" w:rsidP="00031923">
      <w:pPr>
        <w:pStyle w:val="Heading1"/>
        <w:jc w:val="left"/>
        <w:rPr>
          <w:lang w:val="en-GB"/>
        </w:rPr>
      </w:pPr>
      <w:bookmarkStart w:id="127" w:name="_Toc85627562"/>
      <w:r w:rsidRPr="00F1757D">
        <w:rPr>
          <w:lang w:val="en-GB"/>
        </w:rPr>
        <w:t>4.</w:t>
      </w:r>
      <w:r>
        <w:rPr>
          <w:lang w:val="en-GB"/>
        </w:rPr>
        <w:t>5</w:t>
      </w:r>
      <w:r w:rsidRPr="00F1757D">
        <w:rPr>
          <w:lang w:val="en-GB"/>
        </w:rPr>
        <w:t xml:space="preserve"> </w:t>
      </w:r>
      <w:r w:rsidR="00F37312">
        <w:rPr>
          <w:lang w:val="en-GB"/>
        </w:rPr>
        <w:t>C</w:t>
      </w:r>
      <w:r w:rsidR="0077775B">
        <w:rPr>
          <w:lang w:val="en-GB"/>
        </w:rPr>
        <w:t>essation</w:t>
      </w:r>
      <w:r w:rsidR="00AF0E78" w:rsidRPr="00AF0E78">
        <w:rPr>
          <w:lang w:val="en-GB"/>
        </w:rPr>
        <w:t xml:space="preserve"> of </w:t>
      </w:r>
      <w:r w:rsidR="0077775B">
        <w:rPr>
          <w:lang w:val="en-GB"/>
        </w:rPr>
        <w:t>Production (</w:t>
      </w:r>
      <w:r w:rsidR="00AF0E78" w:rsidRPr="00AF0E78">
        <w:rPr>
          <w:lang w:val="en-GB"/>
        </w:rPr>
        <w:t>CoP</w:t>
      </w:r>
      <w:r w:rsidR="0077775B">
        <w:rPr>
          <w:lang w:val="en-GB"/>
        </w:rPr>
        <w:t>)</w:t>
      </w:r>
      <w:r w:rsidR="00AF0E78" w:rsidRPr="00AF0E78">
        <w:rPr>
          <w:lang w:val="en-GB"/>
        </w:rPr>
        <w:t xml:space="preserve"> to Cold Stack</w:t>
      </w:r>
      <w:r w:rsidR="001A6550">
        <w:rPr>
          <w:lang w:val="en-GB"/>
        </w:rPr>
        <w:t xml:space="preserve">: </w:t>
      </w:r>
      <w:r w:rsidR="00334FA7">
        <w:rPr>
          <w:lang w:val="en-GB"/>
        </w:rPr>
        <w:t>All areas</w:t>
      </w:r>
      <w:bookmarkEnd w:id="127"/>
    </w:p>
    <w:p w14:paraId="72E1DDE2" w14:textId="77777777" w:rsidR="00031923" w:rsidRPr="008947FB" w:rsidRDefault="00031923" w:rsidP="00031923">
      <w:pPr>
        <w:ind w:left="720"/>
        <w:jc w:val="both"/>
        <w:rPr>
          <w:rFonts w:ascii="Arial" w:hAnsi="Arial" w:cs="Arial"/>
          <w:sz w:val="22"/>
          <w:szCs w:val="24"/>
          <w:highlight w:val="yellow"/>
          <w:lang w:val="en-GB"/>
        </w:rPr>
      </w:pPr>
    </w:p>
    <w:p w14:paraId="5E0A0F40" w14:textId="18040514" w:rsidR="00031923" w:rsidRPr="00461E89" w:rsidRDefault="0077775B" w:rsidP="00031923">
      <w:pPr>
        <w:rPr>
          <w:rFonts w:ascii="Arial" w:hAnsi="Arial" w:cs="Arial"/>
          <w:sz w:val="22"/>
          <w:szCs w:val="24"/>
          <w:lang w:val="en-GB"/>
        </w:rPr>
      </w:pPr>
      <w:r>
        <w:rPr>
          <w:rFonts w:ascii="Arial" w:hAnsi="Arial" w:cs="Arial"/>
          <w:sz w:val="22"/>
          <w:szCs w:val="24"/>
          <w:lang w:val="en-GB"/>
        </w:rPr>
        <w:t xml:space="preserve">New metric. </w:t>
      </w:r>
    </w:p>
    <w:p w14:paraId="38726619" w14:textId="77777777" w:rsidR="0077775B" w:rsidRDefault="0077775B" w:rsidP="00031923">
      <w:pPr>
        <w:rPr>
          <w:rFonts w:ascii="Arial" w:hAnsi="Arial" w:cs="Arial"/>
          <w:sz w:val="22"/>
          <w:szCs w:val="24"/>
          <w:lang w:val="en-GB"/>
        </w:rPr>
      </w:pPr>
    </w:p>
    <w:p w14:paraId="4612F27C" w14:textId="13E2B0FE" w:rsidR="0077775B" w:rsidRDefault="0077775B" w:rsidP="00031923">
      <w:pPr>
        <w:rPr>
          <w:rFonts w:ascii="Arial" w:hAnsi="Arial" w:cs="Arial"/>
          <w:sz w:val="22"/>
          <w:szCs w:val="24"/>
          <w:lang w:val="en-GB"/>
        </w:rPr>
      </w:pPr>
      <w:r w:rsidRPr="0077775B">
        <w:rPr>
          <w:rFonts w:ascii="Arial" w:hAnsi="Arial" w:cs="Arial"/>
          <w:sz w:val="22"/>
          <w:szCs w:val="24"/>
          <w:lang w:val="en-GB"/>
        </w:rPr>
        <w:t xml:space="preserve">CoP </w:t>
      </w:r>
      <w:r>
        <w:rPr>
          <w:rFonts w:ascii="Arial" w:hAnsi="Arial" w:cs="Arial"/>
          <w:sz w:val="22"/>
          <w:szCs w:val="24"/>
          <w:lang w:val="en-GB"/>
        </w:rPr>
        <w:t>y</w:t>
      </w:r>
      <w:r w:rsidRPr="0077775B">
        <w:rPr>
          <w:rFonts w:ascii="Arial" w:hAnsi="Arial" w:cs="Arial"/>
          <w:sz w:val="22"/>
          <w:szCs w:val="24"/>
          <w:lang w:val="en-GB"/>
        </w:rPr>
        <w:t xml:space="preserve">ear is defined as the year in which the asset is expected to, or has already, permanently ceased production. Please note this is the year that the asset has stopped producing native oil and </w:t>
      </w:r>
      <w:proofErr w:type="gramStart"/>
      <w:r w:rsidRPr="0077775B">
        <w:rPr>
          <w:rFonts w:ascii="Arial" w:hAnsi="Arial" w:cs="Arial"/>
          <w:sz w:val="22"/>
          <w:szCs w:val="24"/>
          <w:lang w:val="en-GB"/>
        </w:rPr>
        <w:t>gas, and</w:t>
      </w:r>
      <w:proofErr w:type="gramEnd"/>
      <w:r w:rsidRPr="0077775B">
        <w:rPr>
          <w:rFonts w:ascii="Arial" w:hAnsi="Arial" w:cs="Arial"/>
          <w:sz w:val="22"/>
          <w:szCs w:val="24"/>
          <w:lang w:val="en-GB"/>
        </w:rPr>
        <w:t xml:space="preserve"> does not consider any future third party processing dates</w:t>
      </w:r>
      <w:r w:rsidR="00781757">
        <w:rPr>
          <w:rFonts w:ascii="Arial" w:hAnsi="Arial" w:cs="Arial"/>
          <w:sz w:val="22"/>
          <w:szCs w:val="24"/>
          <w:lang w:val="en-GB"/>
        </w:rPr>
        <w:t>.</w:t>
      </w:r>
    </w:p>
    <w:p w14:paraId="44845961" w14:textId="77777777" w:rsidR="0077775B" w:rsidRDefault="0077775B" w:rsidP="00031923">
      <w:pPr>
        <w:rPr>
          <w:rFonts w:ascii="Arial" w:hAnsi="Arial" w:cs="Arial"/>
          <w:sz w:val="22"/>
          <w:szCs w:val="24"/>
          <w:lang w:val="en-GB"/>
        </w:rPr>
      </w:pPr>
    </w:p>
    <w:p w14:paraId="7CECDB52" w14:textId="2132C1C2" w:rsidR="0077775B" w:rsidRPr="0077775B" w:rsidRDefault="0077775B" w:rsidP="0077775B">
      <w:pPr>
        <w:rPr>
          <w:rFonts w:ascii="Arial" w:hAnsi="Arial" w:cs="Arial"/>
          <w:sz w:val="22"/>
          <w:szCs w:val="24"/>
          <w:lang w:val="en-GB"/>
        </w:rPr>
      </w:pPr>
      <w:r w:rsidRPr="0077775B">
        <w:rPr>
          <w:rFonts w:ascii="Arial" w:hAnsi="Arial" w:cs="Arial"/>
          <w:sz w:val="22"/>
          <w:szCs w:val="24"/>
          <w:lang w:val="en-GB"/>
        </w:rPr>
        <w:t>Cold Stack</w:t>
      </w:r>
      <w:r w:rsidR="006968F1">
        <w:rPr>
          <w:rStyle w:val="FootnoteReference"/>
          <w:rFonts w:ascii="Arial" w:hAnsi="Arial" w:cs="Arial"/>
          <w:sz w:val="22"/>
          <w:szCs w:val="24"/>
          <w:lang w:val="en-GB"/>
        </w:rPr>
        <w:footnoteReference w:id="5"/>
      </w:r>
      <w:r w:rsidRPr="0077775B">
        <w:rPr>
          <w:rFonts w:ascii="Arial" w:hAnsi="Arial" w:cs="Arial"/>
          <w:sz w:val="22"/>
          <w:szCs w:val="24"/>
          <w:lang w:val="en-GB"/>
        </w:rPr>
        <w:t xml:space="preserve"> is </w:t>
      </w:r>
      <w:r w:rsidR="00950E10">
        <w:rPr>
          <w:rFonts w:ascii="Arial" w:hAnsi="Arial" w:cs="Arial"/>
          <w:sz w:val="22"/>
          <w:szCs w:val="24"/>
          <w:lang w:val="en-GB"/>
        </w:rPr>
        <w:t>calcu</w:t>
      </w:r>
      <w:r w:rsidR="00A76324">
        <w:rPr>
          <w:rFonts w:ascii="Arial" w:hAnsi="Arial" w:cs="Arial"/>
          <w:sz w:val="22"/>
          <w:szCs w:val="24"/>
          <w:lang w:val="en-GB"/>
        </w:rPr>
        <w:t>l</w:t>
      </w:r>
      <w:r w:rsidR="00950E10">
        <w:rPr>
          <w:rFonts w:ascii="Arial" w:hAnsi="Arial" w:cs="Arial"/>
          <w:sz w:val="22"/>
          <w:szCs w:val="24"/>
          <w:lang w:val="en-GB"/>
        </w:rPr>
        <w:t>ated</w:t>
      </w:r>
      <w:r w:rsidR="00950E10" w:rsidRPr="0077775B">
        <w:rPr>
          <w:rFonts w:ascii="Arial" w:hAnsi="Arial" w:cs="Arial"/>
          <w:sz w:val="22"/>
          <w:szCs w:val="24"/>
          <w:lang w:val="en-GB"/>
        </w:rPr>
        <w:t xml:space="preserve"> </w:t>
      </w:r>
      <w:r w:rsidRPr="0077775B">
        <w:rPr>
          <w:rFonts w:ascii="Arial" w:hAnsi="Arial" w:cs="Arial"/>
          <w:sz w:val="22"/>
          <w:szCs w:val="24"/>
          <w:lang w:val="en-GB"/>
        </w:rPr>
        <w:t xml:space="preserve">as 1 year after the asset's last year of </w:t>
      </w:r>
      <w:r w:rsidR="00781757">
        <w:rPr>
          <w:rFonts w:ascii="Arial" w:hAnsi="Arial" w:cs="Arial"/>
          <w:sz w:val="22"/>
          <w:szCs w:val="24"/>
          <w:lang w:val="en-GB"/>
        </w:rPr>
        <w:t>platform</w:t>
      </w:r>
      <w:r w:rsidRPr="0077775B">
        <w:rPr>
          <w:rFonts w:ascii="Arial" w:hAnsi="Arial" w:cs="Arial"/>
          <w:sz w:val="22"/>
          <w:szCs w:val="24"/>
          <w:lang w:val="en-GB"/>
        </w:rPr>
        <w:t xml:space="preserve"> well decommissioning </w:t>
      </w:r>
      <w:proofErr w:type="gramStart"/>
      <w:r w:rsidRPr="0077775B">
        <w:rPr>
          <w:rFonts w:ascii="Arial" w:hAnsi="Arial" w:cs="Arial"/>
          <w:sz w:val="22"/>
          <w:szCs w:val="24"/>
          <w:lang w:val="en-GB"/>
        </w:rPr>
        <w:t>spend</w:t>
      </w:r>
      <w:proofErr w:type="gramEnd"/>
      <w:r w:rsidRPr="0077775B">
        <w:rPr>
          <w:rFonts w:ascii="Arial" w:hAnsi="Arial" w:cs="Arial"/>
          <w:sz w:val="22"/>
          <w:szCs w:val="24"/>
          <w:lang w:val="en-GB"/>
        </w:rPr>
        <w:t xml:space="preserve"> (</w:t>
      </w:r>
      <w:r>
        <w:rPr>
          <w:rFonts w:ascii="Arial" w:hAnsi="Arial" w:cs="Arial"/>
          <w:sz w:val="22"/>
          <w:szCs w:val="24"/>
          <w:lang w:val="en-GB"/>
        </w:rPr>
        <w:t>e.g.</w:t>
      </w:r>
      <w:r w:rsidRPr="0077775B">
        <w:rPr>
          <w:rFonts w:ascii="Arial" w:hAnsi="Arial" w:cs="Arial"/>
          <w:sz w:val="22"/>
          <w:szCs w:val="24"/>
          <w:lang w:val="en-GB"/>
        </w:rPr>
        <w:t xml:space="preserve"> if an asset</w:t>
      </w:r>
      <w:r w:rsidR="00781757">
        <w:rPr>
          <w:rFonts w:ascii="Arial" w:hAnsi="Arial" w:cs="Arial"/>
          <w:sz w:val="22"/>
          <w:szCs w:val="24"/>
          <w:lang w:val="en-GB"/>
        </w:rPr>
        <w:t>’s</w:t>
      </w:r>
      <w:r w:rsidRPr="0077775B">
        <w:rPr>
          <w:rFonts w:ascii="Arial" w:hAnsi="Arial" w:cs="Arial"/>
          <w:sz w:val="22"/>
          <w:szCs w:val="24"/>
          <w:lang w:val="en-GB"/>
        </w:rPr>
        <w:t xml:space="preserve"> last year of well decom</w:t>
      </w:r>
      <w:r w:rsidR="00DD7DB1">
        <w:rPr>
          <w:rFonts w:ascii="Arial" w:hAnsi="Arial" w:cs="Arial"/>
          <w:sz w:val="22"/>
          <w:szCs w:val="24"/>
          <w:lang w:val="en-GB"/>
        </w:rPr>
        <w:t>missioning</w:t>
      </w:r>
      <w:r w:rsidRPr="0077775B">
        <w:rPr>
          <w:rFonts w:ascii="Arial" w:hAnsi="Arial" w:cs="Arial"/>
          <w:sz w:val="22"/>
          <w:szCs w:val="24"/>
          <w:lang w:val="en-GB"/>
        </w:rPr>
        <w:t xml:space="preserve"> spend was in 2019, commencement of Cold Stack Phase is considered to be 2020)</w:t>
      </w:r>
      <w:r>
        <w:rPr>
          <w:rFonts w:ascii="Arial" w:hAnsi="Arial" w:cs="Arial"/>
          <w:sz w:val="22"/>
          <w:szCs w:val="24"/>
          <w:lang w:val="en-GB"/>
        </w:rPr>
        <w:t>.</w:t>
      </w:r>
    </w:p>
    <w:p w14:paraId="25A6DC4A" w14:textId="77777777" w:rsidR="0077775B" w:rsidRPr="0077775B" w:rsidRDefault="0077775B" w:rsidP="0077775B">
      <w:pPr>
        <w:rPr>
          <w:rFonts w:ascii="Arial" w:hAnsi="Arial" w:cs="Arial"/>
          <w:sz w:val="22"/>
          <w:szCs w:val="24"/>
          <w:lang w:val="en-GB"/>
        </w:rPr>
      </w:pPr>
    </w:p>
    <w:p w14:paraId="0A957046" w14:textId="333FE8DF" w:rsidR="00CC1D5A" w:rsidRDefault="0077775B" w:rsidP="0077775B">
      <w:pPr>
        <w:rPr>
          <w:rFonts w:ascii="Arial" w:hAnsi="Arial" w:cs="Arial"/>
          <w:sz w:val="22"/>
          <w:szCs w:val="24"/>
          <w:lang w:val="en-GB"/>
        </w:rPr>
      </w:pPr>
      <w:r w:rsidRPr="0077775B">
        <w:rPr>
          <w:rFonts w:ascii="Arial" w:hAnsi="Arial" w:cs="Arial"/>
          <w:sz w:val="22"/>
          <w:szCs w:val="24"/>
          <w:lang w:val="en-GB"/>
        </w:rPr>
        <w:t xml:space="preserve">Data based on actuals, last year of </w:t>
      </w:r>
      <w:r w:rsidR="003211C0">
        <w:rPr>
          <w:rFonts w:ascii="Arial" w:hAnsi="Arial" w:cs="Arial"/>
          <w:sz w:val="22"/>
          <w:szCs w:val="24"/>
          <w:lang w:val="en-GB"/>
        </w:rPr>
        <w:t>w</w:t>
      </w:r>
      <w:r w:rsidRPr="0077775B">
        <w:rPr>
          <w:rFonts w:ascii="Arial" w:hAnsi="Arial" w:cs="Arial"/>
          <w:sz w:val="22"/>
          <w:szCs w:val="24"/>
          <w:lang w:val="en-GB"/>
        </w:rPr>
        <w:t>ell spend is 2020 or earlier</w:t>
      </w:r>
      <w:r w:rsidR="00CC1D5A">
        <w:rPr>
          <w:rFonts w:ascii="Arial" w:hAnsi="Arial" w:cs="Arial"/>
          <w:sz w:val="22"/>
          <w:szCs w:val="24"/>
          <w:lang w:val="en-GB"/>
        </w:rPr>
        <w:t>.</w:t>
      </w:r>
    </w:p>
    <w:p w14:paraId="18CEFE4A" w14:textId="77777777" w:rsidR="00CC1D5A" w:rsidRDefault="00CC1D5A" w:rsidP="0077775B">
      <w:pPr>
        <w:rPr>
          <w:rFonts w:ascii="Arial" w:hAnsi="Arial" w:cs="Arial"/>
          <w:sz w:val="22"/>
          <w:szCs w:val="24"/>
          <w:lang w:val="en-GB"/>
        </w:rPr>
      </w:pPr>
    </w:p>
    <w:p w14:paraId="6B53FFF5" w14:textId="4DC11C56" w:rsidR="0077775B" w:rsidRPr="00461E89" w:rsidRDefault="004E2D73" w:rsidP="0077775B">
      <w:pPr>
        <w:rPr>
          <w:rFonts w:ascii="Arial" w:hAnsi="Arial" w:cs="Arial"/>
          <w:sz w:val="22"/>
          <w:szCs w:val="24"/>
          <w:lang w:val="en-GB"/>
        </w:rPr>
      </w:pPr>
      <w:r w:rsidRPr="008947FB">
        <w:rPr>
          <w:rFonts w:ascii="Arial" w:hAnsi="Arial" w:cs="Arial"/>
          <w:sz w:val="22"/>
          <w:szCs w:val="24"/>
          <w:lang w:val="en-GB"/>
        </w:rPr>
        <w:t xml:space="preserve">Establishing a </w:t>
      </w:r>
      <w:r w:rsidR="008433D4" w:rsidRPr="008947FB">
        <w:rPr>
          <w:rFonts w:ascii="Arial" w:hAnsi="Arial" w:cs="Arial"/>
          <w:sz w:val="22"/>
          <w:szCs w:val="24"/>
          <w:lang w:val="en-GB"/>
        </w:rPr>
        <w:t>“flexible” window (</w:t>
      </w:r>
      <w:r w:rsidR="0063243B" w:rsidRPr="00AD0CCF">
        <w:rPr>
          <w:rFonts w:ascii="Arial" w:hAnsi="Arial" w:cs="Arial"/>
          <w:sz w:val="22"/>
          <w:szCs w:val="24"/>
          <w:lang w:val="en-GB"/>
        </w:rPr>
        <w:t xml:space="preserve">3 years from </w:t>
      </w:r>
      <w:proofErr w:type="gramStart"/>
      <w:r w:rsidR="0063243B" w:rsidRPr="00AD0CCF">
        <w:rPr>
          <w:rFonts w:ascii="Arial" w:hAnsi="Arial" w:cs="Arial"/>
          <w:sz w:val="22"/>
          <w:szCs w:val="24"/>
          <w:lang w:val="en-GB"/>
        </w:rPr>
        <w:t>cold-stack</w:t>
      </w:r>
      <w:proofErr w:type="gramEnd"/>
      <w:r w:rsidR="0063243B" w:rsidRPr="00AD0CCF">
        <w:rPr>
          <w:rFonts w:ascii="Arial" w:hAnsi="Arial" w:cs="Arial"/>
          <w:sz w:val="22"/>
          <w:szCs w:val="24"/>
          <w:lang w:val="en-GB"/>
        </w:rPr>
        <w:t xml:space="preserve"> to topsides removals is considered to be </w:t>
      </w:r>
      <w:r w:rsidR="00A80E3D" w:rsidRPr="00A80E3D">
        <w:rPr>
          <w:rFonts w:ascii="Arial" w:hAnsi="Arial" w:cs="Arial"/>
          <w:sz w:val="22"/>
          <w:szCs w:val="24"/>
          <w:lang w:val="en-GB"/>
        </w:rPr>
        <w:t xml:space="preserve">standard </w:t>
      </w:r>
      <w:r w:rsidR="0026288C">
        <w:rPr>
          <w:rFonts w:ascii="Arial" w:hAnsi="Arial" w:cs="Arial"/>
          <w:sz w:val="22"/>
          <w:szCs w:val="24"/>
          <w:lang w:val="en-GB"/>
        </w:rPr>
        <w:t>i</w:t>
      </w:r>
      <w:r w:rsidR="00A80E3D" w:rsidRPr="00A80E3D">
        <w:rPr>
          <w:rFonts w:ascii="Arial" w:hAnsi="Arial" w:cs="Arial"/>
          <w:sz w:val="22"/>
          <w:szCs w:val="24"/>
          <w:lang w:val="en-GB"/>
        </w:rPr>
        <w:t>ndustry practice</w:t>
      </w:r>
      <w:r w:rsidR="008433D4">
        <w:rPr>
          <w:rFonts w:ascii="Arial" w:hAnsi="Arial" w:cs="Arial"/>
          <w:sz w:val="22"/>
          <w:szCs w:val="24"/>
          <w:lang w:val="en-GB"/>
        </w:rPr>
        <w:t>)</w:t>
      </w:r>
      <w:r w:rsidR="00A80E3D">
        <w:rPr>
          <w:rFonts w:ascii="Arial" w:hAnsi="Arial" w:cs="Arial"/>
          <w:sz w:val="22"/>
          <w:szCs w:val="24"/>
          <w:lang w:val="en-GB"/>
        </w:rPr>
        <w:t xml:space="preserve"> </w:t>
      </w:r>
      <w:r w:rsidR="008433D4">
        <w:rPr>
          <w:rFonts w:ascii="Arial" w:hAnsi="Arial" w:cs="Arial"/>
          <w:sz w:val="22"/>
          <w:szCs w:val="24"/>
          <w:lang w:val="en-GB"/>
        </w:rPr>
        <w:t xml:space="preserve">for topsides removal </w:t>
      </w:r>
      <w:r w:rsidR="007B0C31" w:rsidRPr="008947FB">
        <w:rPr>
          <w:rFonts w:ascii="Arial" w:hAnsi="Arial" w:cs="Arial"/>
          <w:sz w:val="22"/>
          <w:szCs w:val="24"/>
          <w:lang w:val="en-GB"/>
        </w:rPr>
        <w:t>provid</w:t>
      </w:r>
      <w:r w:rsidR="008433D4" w:rsidRPr="008947FB">
        <w:rPr>
          <w:rFonts w:ascii="Arial" w:hAnsi="Arial" w:cs="Arial"/>
          <w:sz w:val="22"/>
          <w:szCs w:val="24"/>
          <w:lang w:val="en-GB"/>
        </w:rPr>
        <w:t xml:space="preserve">es </w:t>
      </w:r>
      <w:r w:rsidR="007B0C31" w:rsidRPr="008947FB">
        <w:rPr>
          <w:rFonts w:ascii="Arial" w:hAnsi="Arial" w:cs="Arial"/>
          <w:sz w:val="22"/>
          <w:szCs w:val="24"/>
          <w:lang w:val="en-GB"/>
        </w:rPr>
        <w:t>sufficient supply chain and execution flexibility without invoking additional incremental cost.</w:t>
      </w:r>
    </w:p>
    <w:p w14:paraId="42F7F6AC" w14:textId="77777777" w:rsidR="00031923" w:rsidRDefault="00031923" w:rsidP="00031923">
      <w:pPr>
        <w:rPr>
          <w:rFonts w:ascii="Arial" w:hAnsi="Arial" w:cs="Arial"/>
          <w:sz w:val="22"/>
          <w:szCs w:val="24"/>
          <w:lang w:val="en-GB"/>
        </w:rPr>
      </w:pPr>
    </w:p>
    <w:p w14:paraId="3DBEF7F4" w14:textId="24691EF1" w:rsidR="00031923" w:rsidRPr="00824218" w:rsidRDefault="00031923" w:rsidP="00031923">
      <w:pPr>
        <w:rPr>
          <w:rFonts w:ascii="Arial" w:hAnsi="Arial"/>
          <w:b/>
          <w:sz w:val="22"/>
          <w:szCs w:val="22"/>
          <w:lang w:val="en-GB"/>
        </w:rPr>
      </w:pPr>
      <w:r>
        <w:rPr>
          <w:rFonts w:ascii="Arial" w:hAnsi="Arial" w:cs="Arial"/>
          <w:sz w:val="22"/>
          <w:szCs w:val="24"/>
          <w:lang w:val="en-GB"/>
        </w:rPr>
        <w:t xml:space="preserve">Sample Size: </w:t>
      </w:r>
      <w:r w:rsidR="00AF0E78">
        <w:rPr>
          <w:rFonts w:ascii="Arial" w:hAnsi="Arial" w:cs="Arial"/>
          <w:sz w:val="22"/>
          <w:szCs w:val="24"/>
          <w:lang w:val="en-GB"/>
        </w:rPr>
        <w:t>31-40</w:t>
      </w:r>
    </w:p>
    <w:p w14:paraId="623B32D1" w14:textId="77777777" w:rsidR="00031923" w:rsidRPr="008947FB" w:rsidRDefault="00031923" w:rsidP="00031923">
      <w:pPr>
        <w:rPr>
          <w:rFonts w:ascii="Arial" w:hAnsi="Arial"/>
          <w:b/>
          <w:sz w:val="22"/>
          <w:szCs w:val="22"/>
          <w:highlight w:val="yellow"/>
          <w:lang w:val="en-GB"/>
        </w:rPr>
      </w:pPr>
    </w:p>
    <w:p w14:paraId="14195A57" w14:textId="230858BE" w:rsidR="00031923" w:rsidRDefault="00031923" w:rsidP="00031923">
      <w:pPr>
        <w:rPr>
          <w:rFonts w:ascii="Arial" w:hAnsi="Arial"/>
          <w:b/>
          <w:sz w:val="22"/>
          <w:szCs w:val="22"/>
          <w:lang w:val="en-GB"/>
        </w:rPr>
      </w:pPr>
      <w:r w:rsidRPr="00803D14">
        <w:rPr>
          <w:rFonts w:ascii="Arial" w:hAnsi="Arial"/>
          <w:b/>
          <w:sz w:val="22"/>
          <w:szCs w:val="22"/>
          <w:lang w:val="en-GB"/>
        </w:rPr>
        <w:t xml:space="preserve">Figure </w:t>
      </w:r>
      <w:r w:rsidR="00F37312">
        <w:rPr>
          <w:rFonts w:ascii="Arial" w:hAnsi="Arial"/>
          <w:b/>
          <w:sz w:val="22"/>
          <w:szCs w:val="22"/>
          <w:lang w:val="en-GB"/>
        </w:rPr>
        <w:t>9</w:t>
      </w:r>
      <w:r w:rsidRPr="00803D14">
        <w:rPr>
          <w:rFonts w:ascii="Arial" w:hAnsi="Arial"/>
          <w:b/>
          <w:sz w:val="22"/>
          <w:szCs w:val="22"/>
          <w:lang w:val="en-GB"/>
        </w:rPr>
        <w:t xml:space="preserve">: </w:t>
      </w:r>
      <w:r w:rsidR="00AF0E78">
        <w:rPr>
          <w:rFonts w:ascii="Arial" w:hAnsi="Arial"/>
          <w:b/>
          <w:sz w:val="22"/>
          <w:szCs w:val="22"/>
          <w:lang w:val="en-GB"/>
        </w:rPr>
        <w:t>No. of Years from CoP to Cold Stack</w:t>
      </w:r>
      <w:r w:rsidRPr="00803D14">
        <w:rPr>
          <w:rFonts w:ascii="Arial" w:hAnsi="Arial"/>
          <w:b/>
          <w:sz w:val="22"/>
          <w:szCs w:val="22"/>
          <w:lang w:val="en-GB"/>
        </w:rPr>
        <w:t xml:space="preserve">: </w:t>
      </w:r>
      <w:r w:rsidR="00F37312">
        <w:rPr>
          <w:rFonts w:ascii="Arial" w:hAnsi="Arial"/>
          <w:b/>
          <w:sz w:val="22"/>
          <w:szCs w:val="22"/>
          <w:lang w:val="en-GB"/>
        </w:rPr>
        <w:t>A</w:t>
      </w:r>
      <w:r w:rsidR="00334FA7">
        <w:rPr>
          <w:rFonts w:ascii="Arial" w:hAnsi="Arial"/>
          <w:b/>
          <w:sz w:val="22"/>
          <w:szCs w:val="22"/>
          <w:lang w:val="en-GB"/>
        </w:rPr>
        <w:t>ll areas</w:t>
      </w:r>
    </w:p>
    <w:p w14:paraId="42860D62" w14:textId="77777777" w:rsidR="00227088" w:rsidRDefault="00227088" w:rsidP="00031923">
      <w:pPr>
        <w:rPr>
          <w:rFonts w:ascii="Arial" w:hAnsi="Arial"/>
          <w:b/>
          <w:sz w:val="22"/>
          <w:szCs w:val="22"/>
          <w:lang w:val="en-GB"/>
        </w:rPr>
      </w:pPr>
    </w:p>
    <w:p w14:paraId="1C7259BB" w14:textId="47528158" w:rsidR="00227088" w:rsidRPr="00AA1E56" w:rsidRDefault="00771438" w:rsidP="00031923">
      <w:pPr>
        <w:rPr>
          <w:rFonts w:ascii="Arial" w:hAnsi="Arial"/>
          <w:b/>
          <w:sz w:val="22"/>
          <w:szCs w:val="22"/>
          <w:lang w:val="en-GB"/>
        </w:rPr>
      </w:pPr>
      <w:r>
        <w:rPr>
          <w:rFonts w:ascii="Arial" w:hAnsi="Arial"/>
          <w:b/>
          <w:noProof/>
          <w:sz w:val="22"/>
          <w:szCs w:val="22"/>
          <w:lang w:val="en-GB"/>
        </w:rPr>
        <w:drawing>
          <wp:inline distT="0" distB="0" distL="0" distR="0" wp14:anchorId="5FBC44C0" wp14:editId="71B58B41">
            <wp:extent cx="3981474" cy="21239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2263" cy="2129710"/>
                    </a:xfrm>
                    <a:prstGeom prst="rect">
                      <a:avLst/>
                    </a:prstGeom>
                    <a:noFill/>
                  </pic:spPr>
                </pic:pic>
              </a:graphicData>
            </a:graphic>
          </wp:inline>
        </w:drawing>
      </w:r>
      <w:r w:rsidR="001E72E9" w:rsidRPr="001E72E9">
        <w:rPr>
          <w:rFonts w:ascii="Arial" w:hAnsi="Arial"/>
          <w:b/>
          <w:sz w:val="22"/>
          <w:szCs w:val="22"/>
          <w:lang w:val="en-GB"/>
        </w:rPr>
        <w:t xml:space="preserve"> </w:t>
      </w:r>
      <w:r w:rsidR="00681D36" w:rsidRPr="00681D36">
        <w:rPr>
          <w:noProof/>
        </w:rPr>
        <w:drawing>
          <wp:inline distT="0" distB="0" distL="0" distR="0" wp14:anchorId="20906D8A" wp14:editId="265FA90F">
            <wp:extent cx="1429385" cy="64262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9385" cy="642620"/>
                    </a:xfrm>
                    <a:prstGeom prst="rect">
                      <a:avLst/>
                    </a:prstGeom>
                    <a:noFill/>
                    <a:ln>
                      <a:noFill/>
                    </a:ln>
                  </pic:spPr>
                </pic:pic>
              </a:graphicData>
            </a:graphic>
          </wp:inline>
        </w:drawing>
      </w:r>
    </w:p>
    <w:p w14:paraId="49F19674" w14:textId="77777777" w:rsidR="003977A3" w:rsidRDefault="003977A3">
      <w:pPr>
        <w:rPr>
          <w:rFonts w:ascii="Arial" w:hAnsi="Arial" w:cs="Arial"/>
          <w:sz w:val="22"/>
          <w:szCs w:val="24"/>
          <w:lang w:val="en-GB"/>
        </w:rPr>
      </w:pPr>
    </w:p>
    <w:p w14:paraId="450DD4D9" w14:textId="77777777" w:rsidR="00197090" w:rsidRPr="003977A3" w:rsidRDefault="00197090">
      <w:pPr>
        <w:rPr>
          <w:rFonts w:ascii="Arial" w:hAnsi="Arial" w:cs="Arial"/>
          <w:sz w:val="22"/>
          <w:szCs w:val="24"/>
          <w:lang w:val="en-GB"/>
        </w:rPr>
      </w:pPr>
    </w:p>
    <w:p w14:paraId="5250E22A" w14:textId="3A87CD15" w:rsidR="00DA5811" w:rsidRPr="005E109C" w:rsidRDefault="00DA5811" w:rsidP="005E109C">
      <w:pPr>
        <w:pStyle w:val="Heading1"/>
        <w:numPr>
          <w:ilvl w:val="0"/>
          <w:numId w:val="40"/>
        </w:numPr>
        <w:spacing w:after="120"/>
        <w:jc w:val="left"/>
        <w:rPr>
          <w:color w:val="0070C0"/>
          <w:lang w:val="en-GB"/>
        </w:rPr>
      </w:pPr>
      <w:bookmarkStart w:id="128" w:name="_Toc85627563"/>
      <w:r w:rsidRPr="005E109C">
        <w:rPr>
          <w:color w:val="0070C0"/>
          <w:lang w:val="en-GB"/>
        </w:rPr>
        <w:t>Well Decommissioning</w:t>
      </w:r>
      <w:bookmarkEnd w:id="128"/>
    </w:p>
    <w:p w14:paraId="41D2BEE7" w14:textId="4338EDA0" w:rsidR="00811872" w:rsidRPr="00811872" w:rsidRDefault="00811872" w:rsidP="00811872">
      <w:pPr>
        <w:rPr>
          <w:rFonts w:ascii="Arial" w:hAnsi="Arial" w:cs="Arial"/>
          <w:sz w:val="22"/>
          <w:lang w:val="en-GB"/>
        </w:rPr>
      </w:pPr>
      <w:r w:rsidRPr="00811872">
        <w:rPr>
          <w:rFonts w:ascii="Arial" w:hAnsi="Arial" w:cs="Arial"/>
          <w:sz w:val="22"/>
          <w:lang w:val="en-GB"/>
        </w:rPr>
        <w:t xml:space="preserve">Currently, the UKCS has a well portfolio </w:t>
      </w:r>
      <w:proofErr w:type="gramStart"/>
      <w:r w:rsidRPr="00811872">
        <w:rPr>
          <w:rFonts w:ascii="Arial" w:hAnsi="Arial" w:cs="Arial"/>
          <w:sz w:val="22"/>
          <w:lang w:val="en-GB"/>
        </w:rPr>
        <w:t>in excess of</w:t>
      </w:r>
      <w:proofErr w:type="gramEnd"/>
      <w:r w:rsidRPr="00811872">
        <w:rPr>
          <w:rFonts w:ascii="Arial" w:hAnsi="Arial" w:cs="Arial"/>
          <w:sz w:val="22"/>
          <w:lang w:val="en-GB"/>
        </w:rPr>
        <w:t xml:space="preserve"> </w:t>
      </w:r>
      <w:r w:rsidR="00B14AA3">
        <w:rPr>
          <w:rFonts w:ascii="Arial" w:hAnsi="Arial" w:cs="Arial"/>
          <w:sz w:val="22"/>
          <w:lang w:val="en-GB"/>
        </w:rPr>
        <w:t>~</w:t>
      </w:r>
      <w:r w:rsidR="00B14AA3" w:rsidRPr="00811872">
        <w:rPr>
          <w:rFonts w:ascii="Arial" w:hAnsi="Arial" w:cs="Arial"/>
          <w:sz w:val="22"/>
          <w:lang w:val="en-GB"/>
        </w:rPr>
        <w:t xml:space="preserve"> </w:t>
      </w:r>
      <w:r w:rsidRPr="00811872">
        <w:rPr>
          <w:rFonts w:ascii="Arial" w:hAnsi="Arial" w:cs="Arial"/>
          <w:sz w:val="22"/>
          <w:lang w:val="en-GB"/>
        </w:rPr>
        <w:t xml:space="preserve">4000 wells which remain to be decommissioned. </w:t>
      </w:r>
    </w:p>
    <w:p w14:paraId="2C172F1C" w14:textId="77777777" w:rsidR="00811872" w:rsidRPr="00811872" w:rsidRDefault="00811872" w:rsidP="00811872">
      <w:pPr>
        <w:rPr>
          <w:rFonts w:ascii="Arial" w:hAnsi="Arial" w:cs="Arial"/>
          <w:sz w:val="22"/>
          <w:lang w:val="en-GB"/>
        </w:rPr>
      </w:pPr>
    </w:p>
    <w:p w14:paraId="3F00F234" w14:textId="7A00F919" w:rsidR="00DA5811" w:rsidRDefault="00811872" w:rsidP="00811872">
      <w:pPr>
        <w:rPr>
          <w:rFonts w:ascii="Arial" w:hAnsi="Arial" w:cs="Arial"/>
          <w:sz w:val="22"/>
          <w:lang w:val="en-GB"/>
        </w:rPr>
      </w:pPr>
      <w:r w:rsidRPr="00811872">
        <w:rPr>
          <w:rFonts w:ascii="Arial" w:hAnsi="Arial" w:cs="Arial"/>
          <w:sz w:val="22"/>
          <w:lang w:val="en-GB"/>
        </w:rPr>
        <w:t xml:space="preserve">The UKCS has </w:t>
      </w:r>
      <w:r w:rsidR="00703576">
        <w:rPr>
          <w:rFonts w:ascii="Arial" w:hAnsi="Arial" w:cs="Arial"/>
          <w:sz w:val="22"/>
          <w:lang w:val="en-GB"/>
        </w:rPr>
        <w:t>893</w:t>
      </w:r>
      <w:r w:rsidR="001479C3">
        <w:rPr>
          <w:rStyle w:val="FootnoteReference"/>
          <w:rFonts w:ascii="Arial" w:hAnsi="Arial" w:cs="Arial"/>
          <w:sz w:val="22"/>
          <w:lang w:val="en-GB"/>
        </w:rPr>
        <w:footnoteReference w:id="6"/>
      </w:r>
      <w:r w:rsidRPr="00811872">
        <w:rPr>
          <w:rFonts w:ascii="Arial" w:hAnsi="Arial" w:cs="Arial"/>
          <w:sz w:val="22"/>
          <w:lang w:val="en-GB"/>
        </w:rPr>
        <w:t xml:space="preserve"> inactive suspended platform and subsea wells</w:t>
      </w:r>
      <w:r w:rsidR="00E17E78">
        <w:rPr>
          <w:rStyle w:val="FootnoteReference"/>
          <w:rFonts w:ascii="Arial" w:hAnsi="Arial" w:cs="Arial"/>
          <w:sz w:val="22"/>
          <w:lang w:val="en-GB"/>
        </w:rPr>
        <w:footnoteReference w:id="7"/>
      </w:r>
      <w:r w:rsidR="00A51B0B">
        <w:rPr>
          <w:rFonts w:ascii="Arial" w:hAnsi="Arial" w:cs="Arial"/>
          <w:sz w:val="22"/>
          <w:lang w:val="en-GB"/>
        </w:rPr>
        <w:t xml:space="preserve"> (</w:t>
      </w:r>
      <w:r w:rsidR="00A76324">
        <w:rPr>
          <w:rFonts w:ascii="Arial" w:hAnsi="Arial" w:cs="Arial"/>
          <w:sz w:val="22"/>
          <w:lang w:val="en-GB"/>
        </w:rPr>
        <w:t>356 subsea wells; 529 platform wells; 8 multilateral wells)</w:t>
      </w:r>
      <w:r w:rsidRPr="00811872">
        <w:rPr>
          <w:rFonts w:ascii="Arial" w:hAnsi="Arial" w:cs="Arial"/>
          <w:sz w:val="22"/>
          <w:lang w:val="en-GB"/>
        </w:rPr>
        <w:t>. In the next five years, a similar number of wells are forecast to become inactive and available for decommissioning.</w:t>
      </w:r>
    </w:p>
    <w:p w14:paraId="5ED8F953" w14:textId="77777777" w:rsidR="00041349" w:rsidRDefault="00041349" w:rsidP="00811872">
      <w:pPr>
        <w:rPr>
          <w:rFonts w:ascii="Arial" w:hAnsi="Arial" w:cs="Arial"/>
          <w:sz w:val="22"/>
          <w:lang w:val="en-GB"/>
        </w:rPr>
      </w:pPr>
    </w:p>
    <w:p w14:paraId="24CA780A" w14:textId="213C5F21" w:rsidR="00041349" w:rsidRDefault="00041349" w:rsidP="00811872">
      <w:pPr>
        <w:rPr>
          <w:rFonts w:ascii="Arial" w:hAnsi="Arial" w:cs="Arial"/>
          <w:sz w:val="22"/>
          <w:lang w:val="en-GB"/>
        </w:rPr>
      </w:pPr>
      <w:r w:rsidRPr="00041349">
        <w:rPr>
          <w:rFonts w:ascii="Arial" w:hAnsi="Arial" w:cs="Arial"/>
          <w:sz w:val="22"/>
          <w:lang w:val="en-GB"/>
        </w:rPr>
        <w:t xml:space="preserve">Of the wells noted above, </w:t>
      </w:r>
      <w:r w:rsidR="00EB2414">
        <w:rPr>
          <w:rFonts w:ascii="Arial" w:hAnsi="Arial" w:cs="Arial"/>
          <w:sz w:val="22"/>
          <w:lang w:val="en-GB"/>
        </w:rPr>
        <w:t>17</w:t>
      </w:r>
      <w:r w:rsidR="00E16EEC">
        <w:rPr>
          <w:rFonts w:ascii="Arial" w:hAnsi="Arial" w:cs="Arial"/>
          <w:sz w:val="22"/>
          <w:lang w:val="en-GB"/>
        </w:rPr>
        <w:t>6</w:t>
      </w:r>
      <w:r w:rsidRPr="00041349">
        <w:rPr>
          <w:rFonts w:ascii="Arial" w:hAnsi="Arial" w:cs="Arial"/>
          <w:sz w:val="22"/>
          <w:lang w:val="en-GB"/>
        </w:rPr>
        <w:t xml:space="preserve"> are suspended open water Exploration &amp; Appraisal (E&amp;A) wells.</w:t>
      </w:r>
    </w:p>
    <w:p w14:paraId="241A3C3F" w14:textId="1D860CC3" w:rsidR="00557DCE" w:rsidRDefault="00557DCE" w:rsidP="00811872">
      <w:pPr>
        <w:rPr>
          <w:rFonts w:ascii="Arial" w:hAnsi="Arial" w:cs="Arial"/>
          <w:sz w:val="22"/>
          <w:lang w:val="en-GB"/>
        </w:rPr>
      </w:pPr>
    </w:p>
    <w:p w14:paraId="3AA46071" w14:textId="12613C74" w:rsidR="00557DCE" w:rsidRDefault="007652BD" w:rsidP="00811872">
      <w:pPr>
        <w:rPr>
          <w:rFonts w:ascii="Arial" w:hAnsi="Arial" w:cs="Arial"/>
          <w:sz w:val="22"/>
          <w:lang w:val="en-GB"/>
        </w:rPr>
      </w:pPr>
      <w:r>
        <w:rPr>
          <w:rFonts w:ascii="Arial" w:hAnsi="Arial" w:cs="Arial"/>
          <w:sz w:val="22"/>
          <w:lang w:val="en-GB"/>
        </w:rPr>
        <w:t xml:space="preserve">Across </w:t>
      </w:r>
      <w:r w:rsidR="00556BC2">
        <w:rPr>
          <w:rFonts w:ascii="Arial" w:hAnsi="Arial" w:cs="Arial"/>
          <w:sz w:val="22"/>
          <w:lang w:val="en-GB"/>
        </w:rPr>
        <w:t xml:space="preserve">the </w:t>
      </w:r>
      <w:r>
        <w:rPr>
          <w:rFonts w:ascii="Arial" w:hAnsi="Arial" w:cs="Arial"/>
          <w:sz w:val="22"/>
          <w:lang w:val="en-GB"/>
        </w:rPr>
        <w:t>UKCS basin ~</w:t>
      </w:r>
      <w:r w:rsidR="00EA22CD">
        <w:rPr>
          <w:rFonts w:ascii="Arial" w:hAnsi="Arial" w:cs="Arial"/>
          <w:sz w:val="22"/>
          <w:lang w:val="en-GB"/>
        </w:rPr>
        <w:t xml:space="preserve"> </w:t>
      </w:r>
      <w:r>
        <w:rPr>
          <w:rFonts w:ascii="Arial" w:hAnsi="Arial" w:cs="Arial"/>
          <w:sz w:val="22"/>
          <w:lang w:val="en-GB"/>
        </w:rPr>
        <w:t>88 wells were decommissio</w:t>
      </w:r>
      <w:r w:rsidR="00EA22CD">
        <w:rPr>
          <w:rFonts w:ascii="Arial" w:hAnsi="Arial" w:cs="Arial"/>
          <w:sz w:val="22"/>
          <w:lang w:val="en-GB"/>
        </w:rPr>
        <w:t>ned during 2020</w:t>
      </w:r>
      <w:r w:rsidR="00C26FD3">
        <w:rPr>
          <w:rFonts w:ascii="Arial" w:hAnsi="Arial" w:cs="Arial"/>
          <w:sz w:val="22"/>
          <w:lang w:val="en-GB"/>
        </w:rPr>
        <w:t xml:space="preserve">, a reduction from </w:t>
      </w:r>
      <w:r w:rsidR="008069A1">
        <w:rPr>
          <w:rFonts w:ascii="Arial" w:hAnsi="Arial" w:cs="Arial"/>
          <w:sz w:val="22"/>
          <w:lang w:val="en-GB"/>
        </w:rPr>
        <w:t>132</w:t>
      </w:r>
      <w:r w:rsidR="00FA6172">
        <w:rPr>
          <w:rFonts w:ascii="Arial" w:hAnsi="Arial" w:cs="Arial"/>
          <w:sz w:val="22"/>
          <w:lang w:val="en-GB"/>
        </w:rPr>
        <w:t xml:space="preserve"> in 2019</w:t>
      </w:r>
      <w:r w:rsidR="00EA22CD">
        <w:rPr>
          <w:rFonts w:ascii="Arial" w:hAnsi="Arial" w:cs="Arial"/>
          <w:sz w:val="22"/>
          <w:lang w:val="en-GB"/>
        </w:rPr>
        <w:t>.</w:t>
      </w:r>
    </w:p>
    <w:p w14:paraId="74ACD0DE" w14:textId="77777777" w:rsidR="005F08DA" w:rsidRDefault="005F08DA" w:rsidP="00811872">
      <w:pPr>
        <w:rPr>
          <w:rFonts w:ascii="Arial" w:hAnsi="Arial" w:cs="Arial"/>
          <w:sz w:val="22"/>
          <w:lang w:val="en-GB"/>
        </w:rPr>
      </w:pPr>
    </w:p>
    <w:p w14:paraId="3A5940AF" w14:textId="15D51098" w:rsidR="005F08DA" w:rsidRDefault="00627747" w:rsidP="00811872">
      <w:pPr>
        <w:rPr>
          <w:rFonts w:ascii="Arial" w:hAnsi="Arial" w:cs="Arial"/>
          <w:sz w:val="22"/>
          <w:lang w:val="en-GB"/>
        </w:rPr>
      </w:pPr>
      <w:r>
        <w:rPr>
          <w:rFonts w:ascii="Arial" w:hAnsi="Arial" w:cs="Arial"/>
          <w:sz w:val="22"/>
          <w:lang w:val="en-GB"/>
        </w:rPr>
        <w:t>While a</w:t>
      </w:r>
      <w:r w:rsidR="00DE0B38">
        <w:rPr>
          <w:rFonts w:ascii="Arial" w:hAnsi="Arial" w:cs="Arial"/>
          <w:sz w:val="22"/>
          <w:lang w:val="en-GB"/>
        </w:rPr>
        <w:t xml:space="preserve">doption of campaigns </w:t>
      </w:r>
      <w:r w:rsidR="005F08DA">
        <w:rPr>
          <w:rFonts w:ascii="Arial" w:hAnsi="Arial" w:cs="Arial"/>
          <w:sz w:val="22"/>
          <w:lang w:val="en-GB"/>
        </w:rPr>
        <w:t xml:space="preserve">to </w:t>
      </w:r>
      <w:r w:rsidR="007A31D5">
        <w:rPr>
          <w:rFonts w:ascii="Arial" w:hAnsi="Arial" w:cs="Arial"/>
          <w:sz w:val="22"/>
          <w:lang w:val="en-GB"/>
        </w:rPr>
        <w:t xml:space="preserve">deliver cost efficient and timely </w:t>
      </w:r>
      <w:r w:rsidR="00DA6B9C">
        <w:rPr>
          <w:rFonts w:ascii="Arial" w:hAnsi="Arial" w:cs="Arial"/>
          <w:sz w:val="22"/>
          <w:lang w:val="en-GB"/>
        </w:rPr>
        <w:t>decommissioning</w:t>
      </w:r>
      <w:r w:rsidR="00907E88">
        <w:rPr>
          <w:rFonts w:ascii="Arial" w:hAnsi="Arial" w:cs="Arial"/>
          <w:sz w:val="22"/>
          <w:lang w:val="en-GB"/>
        </w:rPr>
        <w:t xml:space="preserve"> of all </w:t>
      </w:r>
      <w:r w:rsidR="009D069C">
        <w:rPr>
          <w:rFonts w:ascii="Arial" w:hAnsi="Arial" w:cs="Arial"/>
          <w:sz w:val="22"/>
          <w:lang w:val="en-GB"/>
        </w:rPr>
        <w:t xml:space="preserve">suspended wells </w:t>
      </w:r>
      <w:r w:rsidR="00DE0B38">
        <w:rPr>
          <w:rFonts w:ascii="Arial" w:hAnsi="Arial" w:cs="Arial"/>
          <w:sz w:val="22"/>
          <w:lang w:val="en-GB"/>
        </w:rPr>
        <w:t>has begun</w:t>
      </w:r>
      <w:r>
        <w:rPr>
          <w:rFonts w:ascii="Arial" w:hAnsi="Arial" w:cs="Arial"/>
          <w:sz w:val="22"/>
          <w:lang w:val="en-GB"/>
        </w:rPr>
        <w:t>,</w:t>
      </w:r>
      <w:r w:rsidR="00DE0B38">
        <w:rPr>
          <w:rFonts w:ascii="Arial" w:hAnsi="Arial" w:cs="Arial"/>
          <w:sz w:val="22"/>
          <w:lang w:val="en-GB"/>
        </w:rPr>
        <w:t xml:space="preserve"> </w:t>
      </w:r>
      <w:r>
        <w:rPr>
          <w:rFonts w:ascii="Arial" w:hAnsi="Arial" w:cs="Arial"/>
          <w:sz w:val="22"/>
          <w:lang w:val="en-GB"/>
        </w:rPr>
        <w:t>s</w:t>
      </w:r>
      <w:r w:rsidRPr="00627747">
        <w:rPr>
          <w:rFonts w:ascii="Arial" w:hAnsi="Arial" w:cs="Arial"/>
          <w:sz w:val="22"/>
          <w:lang w:val="en-GB"/>
        </w:rPr>
        <w:t xml:space="preserve">ignificant opportunity </w:t>
      </w:r>
      <w:r>
        <w:rPr>
          <w:rFonts w:ascii="Arial" w:hAnsi="Arial" w:cs="Arial"/>
          <w:sz w:val="22"/>
          <w:lang w:val="en-GB"/>
        </w:rPr>
        <w:t xml:space="preserve">still </w:t>
      </w:r>
      <w:r w:rsidRPr="00627747">
        <w:rPr>
          <w:rFonts w:ascii="Arial" w:hAnsi="Arial" w:cs="Arial"/>
          <w:sz w:val="22"/>
          <w:lang w:val="en-GB"/>
        </w:rPr>
        <w:t xml:space="preserve">exists </w:t>
      </w:r>
      <w:r w:rsidR="009D069C">
        <w:rPr>
          <w:rFonts w:ascii="Arial" w:hAnsi="Arial" w:cs="Arial"/>
          <w:sz w:val="22"/>
          <w:lang w:val="en-GB"/>
        </w:rPr>
        <w:t xml:space="preserve">through </w:t>
      </w:r>
      <w:r w:rsidR="00E44032">
        <w:rPr>
          <w:rFonts w:ascii="Arial" w:hAnsi="Arial" w:cs="Arial"/>
          <w:sz w:val="22"/>
          <w:lang w:val="en-GB"/>
        </w:rPr>
        <w:t>collaboration and campaigns</w:t>
      </w:r>
      <w:r w:rsidR="00B64E15">
        <w:rPr>
          <w:rFonts w:ascii="Arial" w:hAnsi="Arial" w:cs="Arial"/>
          <w:sz w:val="22"/>
          <w:lang w:val="en-GB"/>
        </w:rPr>
        <w:t xml:space="preserve"> </w:t>
      </w:r>
      <w:r>
        <w:rPr>
          <w:rFonts w:ascii="Arial" w:hAnsi="Arial" w:cs="Arial"/>
          <w:sz w:val="22"/>
          <w:lang w:val="en-GB"/>
        </w:rPr>
        <w:t>to</w:t>
      </w:r>
      <w:r w:rsidR="00B64E15">
        <w:rPr>
          <w:rFonts w:ascii="Arial" w:hAnsi="Arial" w:cs="Arial"/>
          <w:sz w:val="22"/>
          <w:lang w:val="en-GB"/>
        </w:rPr>
        <w:t xml:space="preserve"> drive </w:t>
      </w:r>
      <w:r w:rsidR="005E746C">
        <w:rPr>
          <w:rFonts w:ascii="Arial" w:hAnsi="Arial" w:cs="Arial"/>
          <w:sz w:val="22"/>
          <w:lang w:val="en-GB"/>
        </w:rPr>
        <w:t xml:space="preserve">down the </w:t>
      </w:r>
      <w:r>
        <w:rPr>
          <w:rFonts w:ascii="Arial" w:hAnsi="Arial" w:cs="Arial"/>
          <w:sz w:val="22"/>
          <w:lang w:val="en-GB"/>
        </w:rPr>
        <w:t xml:space="preserve">unit cost </w:t>
      </w:r>
      <w:r w:rsidR="00C10652">
        <w:rPr>
          <w:rFonts w:ascii="Arial" w:hAnsi="Arial" w:cs="Arial"/>
          <w:sz w:val="22"/>
          <w:lang w:val="en-GB"/>
        </w:rPr>
        <w:t xml:space="preserve">of well </w:t>
      </w:r>
      <w:r w:rsidR="00DA6B9C">
        <w:rPr>
          <w:rFonts w:ascii="Arial" w:hAnsi="Arial" w:cs="Arial"/>
          <w:sz w:val="22"/>
          <w:lang w:val="en-GB"/>
        </w:rPr>
        <w:t>decommissioning</w:t>
      </w:r>
      <w:r w:rsidR="00B40F66">
        <w:rPr>
          <w:rFonts w:ascii="Arial" w:hAnsi="Arial" w:cs="Arial"/>
          <w:sz w:val="22"/>
          <w:lang w:val="en-GB"/>
        </w:rPr>
        <w:t>.</w:t>
      </w:r>
      <w:r w:rsidRPr="00627747">
        <w:rPr>
          <w:rFonts w:ascii="Arial" w:hAnsi="Arial" w:cs="Arial"/>
          <w:sz w:val="22"/>
          <w:lang w:val="en-GB"/>
        </w:rPr>
        <w:t xml:space="preserve"> </w:t>
      </w:r>
    </w:p>
    <w:p w14:paraId="32774065" w14:textId="77777777" w:rsidR="000C7DF5" w:rsidRDefault="000C7DF5" w:rsidP="00811872">
      <w:pPr>
        <w:rPr>
          <w:rFonts w:ascii="Arial" w:hAnsi="Arial" w:cs="Arial"/>
          <w:sz w:val="22"/>
          <w:lang w:val="en-GB"/>
        </w:rPr>
      </w:pPr>
    </w:p>
    <w:p w14:paraId="02D1DEE5" w14:textId="1DD5AE1A" w:rsidR="000C7DF5" w:rsidRDefault="003031B5" w:rsidP="00811872">
      <w:pPr>
        <w:rPr>
          <w:rFonts w:ascii="Arial" w:hAnsi="Arial" w:cs="Arial"/>
          <w:sz w:val="22"/>
          <w:lang w:val="en-GB"/>
        </w:rPr>
      </w:pPr>
      <w:r>
        <w:rPr>
          <w:rFonts w:ascii="Arial" w:hAnsi="Arial" w:cs="Arial"/>
          <w:sz w:val="22"/>
          <w:lang w:val="en-GB"/>
        </w:rPr>
        <w:t>Re</w:t>
      </w:r>
      <w:r w:rsidR="000C7DF5">
        <w:rPr>
          <w:rFonts w:ascii="Arial" w:hAnsi="Arial" w:cs="Arial"/>
          <w:sz w:val="22"/>
          <w:lang w:val="en-GB"/>
        </w:rPr>
        <w:t xml:space="preserve">-use of </w:t>
      </w:r>
      <w:r w:rsidR="0085338D">
        <w:rPr>
          <w:rFonts w:ascii="Arial" w:hAnsi="Arial" w:cs="Arial"/>
          <w:sz w:val="22"/>
          <w:lang w:val="en-GB"/>
        </w:rPr>
        <w:t xml:space="preserve">existing </w:t>
      </w:r>
      <w:r w:rsidR="000C7DF5">
        <w:rPr>
          <w:rFonts w:ascii="Arial" w:hAnsi="Arial" w:cs="Arial"/>
          <w:sz w:val="22"/>
          <w:lang w:val="en-GB"/>
        </w:rPr>
        <w:t xml:space="preserve">wells for CCS </w:t>
      </w:r>
      <w:r>
        <w:rPr>
          <w:rFonts w:ascii="Arial" w:hAnsi="Arial" w:cs="Arial"/>
          <w:sz w:val="22"/>
          <w:lang w:val="en-GB"/>
        </w:rPr>
        <w:t xml:space="preserve">is </w:t>
      </w:r>
      <w:r w:rsidR="0085338D">
        <w:rPr>
          <w:rFonts w:ascii="Arial" w:hAnsi="Arial" w:cs="Arial"/>
          <w:sz w:val="22"/>
          <w:lang w:val="en-GB"/>
        </w:rPr>
        <w:t xml:space="preserve">now </w:t>
      </w:r>
      <w:r w:rsidR="00157357">
        <w:rPr>
          <w:rFonts w:ascii="Arial" w:hAnsi="Arial" w:cs="Arial"/>
          <w:sz w:val="22"/>
          <w:lang w:val="en-GB"/>
        </w:rPr>
        <w:t>becoming a consideration/reality</w:t>
      </w:r>
      <w:r w:rsidR="006937C2">
        <w:rPr>
          <w:rFonts w:ascii="Arial" w:hAnsi="Arial" w:cs="Arial"/>
          <w:sz w:val="22"/>
          <w:lang w:val="en-GB"/>
        </w:rPr>
        <w:t xml:space="preserve">. The </w:t>
      </w:r>
      <w:r w:rsidR="00C53D2A">
        <w:rPr>
          <w:rFonts w:ascii="Arial" w:hAnsi="Arial" w:cs="Arial"/>
          <w:sz w:val="22"/>
          <w:lang w:val="en-GB"/>
        </w:rPr>
        <w:t>i</w:t>
      </w:r>
      <w:r w:rsidR="006937C2">
        <w:rPr>
          <w:rFonts w:ascii="Arial" w:hAnsi="Arial" w:cs="Arial"/>
          <w:sz w:val="22"/>
          <w:lang w:val="en-GB"/>
        </w:rPr>
        <w:t xml:space="preserve">ncremental cost associated with </w:t>
      </w:r>
      <w:r w:rsidR="00DA6B9C">
        <w:rPr>
          <w:rFonts w:ascii="Arial" w:hAnsi="Arial" w:cs="Arial"/>
          <w:sz w:val="22"/>
          <w:lang w:val="en-GB"/>
        </w:rPr>
        <w:t xml:space="preserve">decommissioning </w:t>
      </w:r>
      <w:r w:rsidR="006E1F7C">
        <w:rPr>
          <w:rFonts w:ascii="Arial" w:hAnsi="Arial" w:cs="Arial"/>
          <w:sz w:val="22"/>
          <w:lang w:val="en-GB"/>
        </w:rPr>
        <w:t xml:space="preserve">of wells </w:t>
      </w:r>
      <w:r w:rsidR="007F1288">
        <w:rPr>
          <w:rFonts w:ascii="Arial" w:hAnsi="Arial" w:cs="Arial"/>
          <w:sz w:val="22"/>
          <w:lang w:val="en-GB"/>
        </w:rPr>
        <w:t xml:space="preserve">designated for CCS is </w:t>
      </w:r>
      <w:r w:rsidR="00C53D2A">
        <w:rPr>
          <w:rFonts w:ascii="Arial" w:hAnsi="Arial" w:cs="Arial"/>
          <w:sz w:val="22"/>
          <w:lang w:val="en-GB"/>
        </w:rPr>
        <w:t xml:space="preserve">a consideration in </w:t>
      </w:r>
      <w:r w:rsidR="0044348D">
        <w:rPr>
          <w:rFonts w:ascii="Arial" w:hAnsi="Arial" w:cs="Arial"/>
          <w:sz w:val="22"/>
          <w:lang w:val="en-GB"/>
        </w:rPr>
        <w:t>well P&amp;A benchmarking.</w:t>
      </w:r>
    </w:p>
    <w:p w14:paraId="2CB77EE9" w14:textId="77777777" w:rsidR="005A0744" w:rsidRDefault="005A0744" w:rsidP="00811872">
      <w:pPr>
        <w:rPr>
          <w:rFonts w:ascii="Arial" w:hAnsi="Arial" w:cs="Arial"/>
          <w:sz w:val="22"/>
          <w:lang w:val="en-GB"/>
        </w:rPr>
      </w:pPr>
    </w:p>
    <w:p w14:paraId="6E9AB3A3" w14:textId="28F9E859" w:rsidR="005A0744" w:rsidRPr="00811872" w:rsidRDefault="005A0744" w:rsidP="00811872">
      <w:pPr>
        <w:rPr>
          <w:rFonts w:ascii="Arial" w:hAnsi="Arial" w:cs="Arial"/>
          <w:sz w:val="22"/>
          <w:lang w:val="en-GB"/>
        </w:rPr>
      </w:pPr>
      <w:r w:rsidRPr="005A0744">
        <w:rPr>
          <w:rFonts w:ascii="Arial" w:hAnsi="Arial" w:cs="Arial"/>
          <w:sz w:val="22"/>
          <w:lang w:val="en-GB"/>
        </w:rPr>
        <w:t xml:space="preserve">To complement and be read in conjunction with the existing </w:t>
      </w:r>
      <w:r>
        <w:rPr>
          <w:rFonts w:ascii="Arial" w:hAnsi="Arial" w:cs="Arial"/>
          <w:sz w:val="22"/>
          <w:lang w:val="en-GB"/>
        </w:rPr>
        <w:t xml:space="preserve">well decommissioning </w:t>
      </w:r>
      <w:r w:rsidRPr="005A0744">
        <w:rPr>
          <w:rFonts w:ascii="Arial" w:hAnsi="Arial" w:cs="Arial"/>
          <w:sz w:val="22"/>
          <w:lang w:val="en-GB"/>
        </w:rPr>
        <w:t>cost benchmark</w:t>
      </w:r>
      <w:r>
        <w:rPr>
          <w:rFonts w:ascii="Arial" w:hAnsi="Arial" w:cs="Arial"/>
          <w:sz w:val="22"/>
          <w:lang w:val="en-GB"/>
        </w:rPr>
        <w:t>s</w:t>
      </w:r>
      <w:r w:rsidRPr="005A0744">
        <w:rPr>
          <w:rFonts w:ascii="Arial" w:hAnsi="Arial" w:cs="Arial"/>
          <w:sz w:val="22"/>
          <w:lang w:val="en-GB"/>
        </w:rPr>
        <w:t xml:space="preserve">, a secondary </w:t>
      </w:r>
      <w:r w:rsidR="005967A6">
        <w:rPr>
          <w:rFonts w:ascii="Arial" w:hAnsi="Arial" w:cs="Arial"/>
          <w:sz w:val="22"/>
          <w:lang w:val="en-GB"/>
        </w:rPr>
        <w:t>(</w:t>
      </w:r>
      <w:r w:rsidRPr="005A0744">
        <w:rPr>
          <w:rFonts w:ascii="Arial" w:hAnsi="Arial" w:cs="Arial"/>
          <w:sz w:val="22"/>
          <w:lang w:val="en-GB"/>
        </w:rPr>
        <w:t>new</w:t>
      </w:r>
      <w:r w:rsidR="005967A6">
        <w:rPr>
          <w:rFonts w:ascii="Arial" w:hAnsi="Arial" w:cs="Arial"/>
          <w:sz w:val="22"/>
          <w:lang w:val="en-GB"/>
        </w:rPr>
        <w:t>)</w:t>
      </w:r>
      <w:r w:rsidRPr="005A0744">
        <w:rPr>
          <w:rFonts w:ascii="Arial" w:hAnsi="Arial" w:cs="Arial"/>
          <w:sz w:val="22"/>
          <w:lang w:val="en-GB"/>
        </w:rPr>
        <w:t xml:space="preserve"> well decommissioning benchmark (metric: days to decommission wells) has been added where applicable data exists</w:t>
      </w:r>
      <w:r w:rsidR="00FE2F5F">
        <w:rPr>
          <w:rFonts w:ascii="Arial" w:hAnsi="Arial" w:cs="Arial"/>
          <w:sz w:val="22"/>
          <w:lang w:val="en-GB"/>
        </w:rPr>
        <w:t xml:space="preserve"> (section 5.5)</w:t>
      </w:r>
      <w:r w:rsidRPr="005A0744">
        <w:rPr>
          <w:rFonts w:ascii="Arial" w:hAnsi="Arial" w:cs="Arial"/>
          <w:sz w:val="22"/>
          <w:lang w:val="en-GB"/>
        </w:rPr>
        <w:t>.</w:t>
      </w:r>
      <w:r w:rsidR="00045FF9">
        <w:rPr>
          <w:rFonts w:ascii="Arial" w:hAnsi="Arial" w:cs="Arial"/>
          <w:sz w:val="22"/>
          <w:lang w:val="en-GB"/>
        </w:rPr>
        <w:t xml:space="preserve"> A summary</w:t>
      </w:r>
      <w:r w:rsidR="00153AF9">
        <w:rPr>
          <w:rFonts w:ascii="Arial" w:hAnsi="Arial" w:cs="Arial"/>
          <w:sz w:val="22"/>
          <w:lang w:val="en-GB"/>
        </w:rPr>
        <w:t xml:space="preserve"> </w:t>
      </w:r>
      <w:r w:rsidR="0018524F">
        <w:rPr>
          <w:rFonts w:ascii="Arial" w:hAnsi="Arial" w:cs="Arial"/>
          <w:sz w:val="22"/>
          <w:lang w:val="en-GB"/>
        </w:rPr>
        <w:t>by</w:t>
      </w:r>
      <w:r w:rsidR="00B47227">
        <w:rPr>
          <w:rFonts w:ascii="Arial" w:hAnsi="Arial" w:cs="Arial"/>
          <w:sz w:val="22"/>
          <w:lang w:val="en-GB"/>
        </w:rPr>
        <w:t xml:space="preserve"> well type is shown in Table 2</w:t>
      </w:r>
      <w:r w:rsidRPr="005A0744">
        <w:rPr>
          <w:rFonts w:ascii="Arial" w:hAnsi="Arial" w:cs="Arial"/>
          <w:sz w:val="22"/>
          <w:lang w:val="en-GB"/>
        </w:rPr>
        <w:t>.</w:t>
      </w:r>
    </w:p>
    <w:p w14:paraId="3B21CF09" w14:textId="77777777" w:rsidR="0031128F" w:rsidRDefault="0031128F" w:rsidP="00811872">
      <w:pPr>
        <w:rPr>
          <w:rFonts w:ascii="Arial" w:hAnsi="Arial" w:cs="Arial"/>
          <w:sz w:val="22"/>
          <w:lang w:val="en-GB"/>
        </w:rPr>
      </w:pPr>
    </w:p>
    <w:p w14:paraId="650DE343" w14:textId="1FF3E1BE" w:rsidR="00A91010" w:rsidRPr="00A91010" w:rsidRDefault="00C03580" w:rsidP="00811872">
      <w:pPr>
        <w:rPr>
          <w:rFonts w:ascii="Arial" w:hAnsi="Arial" w:cs="Arial"/>
          <w:b/>
          <w:bCs/>
          <w:sz w:val="22"/>
          <w:lang w:val="en-GB"/>
        </w:rPr>
      </w:pPr>
      <w:r w:rsidRPr="00A91010">
        <w:rPr>
          <w:rFonts w:ascii="Arial" w:hAnsi="Arial" w:cs="Arial"/>
          <w:b/>
          <w:bCs/>
          <w:sz w:val="22"/>
          <w:lang w:val="en-GB"/>
        </w:rPr>
        <w:t xml:space="preserve">Table 2: Well Decommissioning (days) </w:t>
      </w:r>
    </w:p>
    <w:bookmarkStart w:id="129" w:name="_1696398231"/>
    <w:bookmarkEnd w:id="129"/>
    <w:p w14:paraId="117CF813" w14:textId="4B9FBD51" w:rsidR="00D61F2A" w:rsidRDefault="00FE2F5F" w:rsidP="00811872">
      <w:pPr>
        <w:rPr>
          <w:lang w:val="en-GB" w:eastAsia="en-GB"/>
        </w:rPr>
      </w:pPr>
      <w:r>
        <w:rPr>
          <w:rFonts w:ascii="Arial" w:hAnsi="Arial" w:cs="Arial"/>
          <w:sz w:val="22"/>
          <w:lang w:val="en-GB"/>
        </w:rPr>
        <w:fldChar w:fldCharType="begin"/>
      </w:r>
      <w:r>
        <w:rPr>
          <w:rFonts w:ascii="Arial" w:hAnsi="Arial" w:cs="Arial"/>
          <w:sz w:val="22"/>
          <w:lang w:val="en-GB"/>
        </w:rPr>
        <w:instrText xml:space="preserve"> LINK </w:instrText>
      </w:r>
      <w:r w:rsidR="00D61F2A">
        <w:rPr>
          <w:rFonts w:ascii="Arial" w:hAnsi="Arial" w:cs="Arial"/>
          <w:sz w:val="22"/>
          <w:lang w:val="en-GB"/>
        </w:rPr>
        <w:instrText xml:space="preserve">Excel.Sheet.12 https://ogauthority.sharepoint.com/sites/Decommissioning/Team%20Projects/210726%20Benchmark%20Graphs%20for%20Benchmark%20Report.xlsx "Little DataTables!R40C28:R44C35" </w:instrText>
      </w:r>
      <w:r>
        <w:rPr>
          <w:rFonts w:ascii="Arial" w:hAnsi="Arial" w:cs="Arial"/>
          <w:sz w:val="22"/>
          <w:lang w:val="en-GB"/>
        </w:rPr>
        <w:instrText xml:space="preserve">\a \f 5 \h  \* MERGEFORMAT </w:instrText>
      </w:r>
      <w:r w:rsidR="00D61F2A">
        <w:rPr>
          <w:rFonts w:ascii="Arial" w:hAnsi="Arial" w:cs="Arial"/>
          <w:sz w:val="22"/>
          <w:lang w:val="en-GB"/>
        </w:rPr>
        <w:fldChar w:fldCharType="separate"/>
      </w:r>
      <w:bookmarkStart w:id="130" w:name="_1696665708"/>
      <w:bookmarkStart w:id="131" w:name="_1696656959"/>
      <w:bookmarkStart w:id="132" w:name="_1696663722"/>
      <w:bookmarkEnd w:id="130"/>
      <w:bookmarkEnd w:id="131"/>
      <w:bookmarkEnd w:id="132"/>
    </w:p>
    <w:tbl>
      <w:tblPr>
        <w:tblStyle w:val="TableGrid"/>
        <w:tblW w:w="8270" w:type="dxa"/>
        <w:tblLook w:val="04A0" w:firstRow="1" w:lastRow="0" w:firstColumn="1" w:lastColumn="0" w:noHBand="0" w:noVBand="1"/>
      </w:tblPr>
      <w:tblGrid>
        <w:gridCol w:w="950"/>
        <w:gridCol w:w="721"/>
        <w:gridCol w:w="721"/>
        <w:gridCol w:w="686"/>
        <w:gridCol w:w="686"/>
        <w:gridCol w:w="83"/>
        <w:gridCol w:w="294"/>
        <w:gridCol w:w="510"/>
        <w:gridCol w:w="686"/>
        <w:gridCol w:w="686"/>
        <w:gridCol w:w="83"/>
        <w:gridCol w:w="638"/>
        <w:gridCol w:w="83"/>
        <w:gridCol w:w="638"/>
        <w:gridCol w:w="721"/>
        <w:gridCol w:w="721"/>
        <w:gridCol w:w="721"/>
        <w:tblGridChange w:id="133">
          <w:tblGrid>
            <w:gridCol w:w="950"/>
            <w:gridCol w:w="721"/>
            <w:gridCol w:w="721"/>
            <w:gridCol w:w="686"/>
            <w:gridCol w:w="686"/>
            <w:gridCol w:w="83"/>
            <w:gridCol w:w="294"/>
            <w:gridCol w:w="510"/>
            <w:gridCol w:w="686"/>
            <w:gridCol w:w="686"/>
            <w:gridCol w:w="83"/>
            <w:gridCol w:w="638"/>
            <w:gridCol w:w="83"/>
            <w:gridCol w:w="638"/>
            <w:gridCol w:w="721"/>
            <w:gridCol w:w="721"/>
            <w:gridCol w:w="721"/>
          </w:tblGrid>
        </w:tblGridChange>
      </w:tblGrid>
      <w:tr w:rsidR="00D61F2A" w:rsidRPr="008947FB" w14:paraId="47722AF8" w14:textId="77777777" w:rsidTr="00D61F2A">
        <w:trPr>
          <w:divId w:val="496115790"/>
          <w:trHeight w:val="264"/>
        </w:trPr>
        <w:tc>
          <w:tcPr>
            <w:tcW w:w="1410" w:type="dxa"/>
            <w:noWrap/>
            <w:hideMark/>
          </w:tcPr>
          <w:p w14:paraId="5A5A7EB0" w14:textId="6F32F8BA" w:rsidR="00D61F2A" w:rsidRPr="008947FB" w:rsidRDefault="00D61F2A" w:rsidP="008947FB">
            <w:pPr>
              <w:rPr>
                <w:rFonts w:ascii="Arial" w:hAnsi="Arial" w:cs="Arial"/>
                <w:sz w:val="22"/>
              </w:rPr>
            </w:pPr>
          </w:p>
        </w:tc>
        <w:tc>
          <w:tcPr>
            <w:tcW w:w="3920" w:type="dxa"/>
            <w:gridSpan w:val="4"/>
            <w:noWrap/>
            <w:hideMark/>
          </w:tcPr>
          <w:p w14:paraId="5CBB1308" w14:textId="77777777" w:rsidR="00D61F2A" w:rsidRPr="008947FB" w:rsidRDefault="00D61F2A" w:rsidP="008947FB">
            <w:pPr>
              <w:rPr>
                <w:rFonts w:ascii="Arial" w:hAnsi="Arial" w:cs="Arial"/>
                <w:sz w:val="22"/>
              </w:rPr>
            </w:pPr>
          </w:p>
        </w:tc>
        <w:tc>
          <w:tcPr>
            <w:tcW w:w="2940" w:type="dxa"/>
            <w:gridSpan w:val="5"/>
            <w:noWrap/>
            <w:hideMark/>
          </w:tcPr>
          <w:p w14:paraId="0FD605BB" w14:textId="77777777" w:rsidR="00D61F2A" w:rsidRPr="008947FB" w:rsidRDefault="00D61F2A" w:rsidP="008947FB">
            <w:pPr>
              <w:rPr>
                <w:rFonts w:ascii="Arial" w:hAnsi="Arial" w:cs="Arial"/>
                <w:sz w:val="22"/>
              </w:rPr>
            </w:pPr>
          </w:p>
        </w:tc>
        <w:tc>
          <w:tcPr>
            <w:tcW w:w="1036" w:type="dxa"/>
            <w:gridSpan w:val="2"/>
            <w:noWrap/>
            <w:hideMark/>
          </w:tcPr>
          <w:p w14:paraId="20A69906" w14:textId="77777777" w:rsidR="00D61F2A" w:rsidRPr="008947FB" w:rsidRDefault="00D61F2A" w:rsidP="008947FB">
            <w:pPr>
              <w:rPr>
                <w:lang w:eastAsia="en-GB"/>
              </w:rPr>
            </w:pPr>
          </w:p>
        </w:tc>
        <w:tc>
          <w:tcPr>
            <w:tcW w:w="1036" w:type="dxa"/>
            <w:gridSpan w:val="2"/>
            <w:noWrap/>
            <w:hideMark/>
          </w:tcPr>
          <w:p w14:paraId="32493699" w14:textId="77777777" w:rsidR="00D61F2A" w:rsidRPr="008947FB" w:rsidRDefault="00D61F2A" w:rsidP="008947FB">
            <w:pPr>
              <w:rPr>
                <w:lang w:eastAsia="en-GB"/>
              </w:rPr>
            </w:pPr>
          </w:p>
        </w:tc>
        <w:tc>
          <w:tcPr>
            <w:tcW w:w="1036" w:type="dxa"/>
            <w:noWrap/>
            <w:hideMark/>
          </w:tcPr>
          <w:p w14:paraId="3DC066FF" w14:textId="77777777" w:rsidR="00D61F2A" w:rsidRPr="008947FB" w:rsidRDefault="00D61F2A" w:rsidP="008947FB">
            <w:pPr>
              <w:rPr>
                <w:lang w:eastAsia="en-GB"/>
              </w:rPr>
            </w:pPr>
          </w:p>
        </w:tc>
        <w:tc>
          <w:tcPr>
            <w:tcW w:w="1036" w:type="dxa"/>
            <w:noWrap/>
            <w:hideMark/>
          </w:tcPr>
          <w:p w14:paraId="193C0F31" w14:textId="77777777" w:rsidR="00D61F2A" w:rsidRPr="008947FB" w:rsidRDefault="00D61F2A" w:rsidP="008947FB">
            <w:pPr>
              <w:rPr>
                <w:lang w:eastAsia="en-GB"/>
              </w:rPr>
            </w:pPr>
          </w:p>
        </w:tc>
        <w:tc>
          <w:tcPr>
            <w:tcW w:w="1036" w:type="dxa"/>
            <w:noWrap/>
            <w:hideMark/>
          </w:tcPr>
          <w:p w14:paraId="301F9A60" w14:textId="77777777" w:rsidR="00D61F2A" w:rsidRPr="008947FB" w:rsidRDefault="00D61F2A" w:rsidP="008947FB">
            <w:pPr>
              <w:rPr>
                <w:lang w:eastAsia="en-GB"/>
              </w:rPr>
            </w:pPr>
          </w:p>
        </w:tc>
      </w:tr>
      <w:tr w:rsidR="00D61F2A" w:rsidRPr="008947FB" w14:paraId="744E19A7" w14:textId="77777777" w:rsidTr="00D61F2A">
        <w:trPr>
          <w:gridAfter w:val="4"/>
          <w:divId w:val="496115790"/>
          <w:wAfter w:w="4856" w:type="dxa"/>
          <w:trHeight w:val="792"/>
        </w:trPr>
        <w:tc>
          <w:tcPr>
            <w:tcW w:w="1410" w:type="dxa"/>
            <w:noWrap/>
            <w:hideMark/>
          </w:tcPr>
          <w:p w14:paraId="01E73A9F" w14:textId="77777777" w:rsidR="00D61F2A" w:rsidRPr="008947FB" w:rsidRDefault="00D61F2A" w:rsidP="008947FB">
            <w:pPr>
              <w:rPr>
                <w:lang w:eastAsia="en-GB"/>
              </w:rPr>
            </w:pPr>
            <w:r w:rsidRPr="008947FB">
              <w:rPr>
                <w:rFonts w:ascii="Arial" w:hAnsi="Arial" w:cs="Arial"/>
                <w:sz w:val="22"/>
              </w:rPr>
              <w:t>Units:</w:t>
            </w:r>
            <w:r w:rsidRPr="008947FB">
              <w:rPr>
                <w:lang w:eastAsia="en-GB"/>
              </w:rPr>
              <w:t xml:space="preserve"> Days</w:t>
            </w:r>
          </w:p>
        </w:tc>
        <w:tc>
          <w:tcPr>
            <w:tcW w:w="4244" w:type="dxa"/>
            <w:gridSpan w:val="6"/>
            <w:noWrap/>
            <w:hideMark/>
          </w:tcPr>
          <w:p w14:paraId="1EC0A707" w14:textId="77777777" w:rsidR="00D61F2A" w:rsidRPr="008947FB" w:rsidRDefault="00D61F2A" w:rsidP="008947FB">
            <w:pPr>
              <w:rPr>
                <w:lang w:eastAsia="en-GB"/>
              </w:rPr>
            </w:pPr>
            <w:r w:rsidRPr="008947FB">
              <w:rPr>
                <w:rFonts w:ascii="Arial" w:hAnsi="Arial" w:cs="Arial"/>
                <w:sz w:val="22"/>
              </w:rPr>
              <w:t xml:space="preserve">Northern &amp; Central North </w:t>
            </w:r>
            <w:r w:rsidRPr="008947FB">
              <w:rPr>
                <w:lang w:eastAsia="en-GB"/>
              </w:rPr>
              <w:t>Sea</w:t>
            </w:r>
          </w:p>
        </w:tc>
        <w:tc>
          <w:tcPr>
            <w:tcW w:w="3108" w:type="dxa"/>
            <w:gridSpan w:val="6"/>
            <w:noWrap/>
            <w:hideMark/>
          </w:tcPr>
          <w:p w14:paraId="5FD47309" w14:textId="77777777" w:rsidR="00D61F2A" w:rsidRPr="008947FB" w:rsidRDefault="00D61F2A" w:rsidP="008947FB">
            <w:pPr>
              <w:rPr>
                <w:rFonts w:ascii="Arial" w:hAnsi="Arial" w:cs="Arial"/>
                <w:sz w:val="22"/>
              </w:rPr>
            </w:pPr>
            <w:r w:rsidRPr="008947FB">
              <w:rPr>
                <w:rFonts w:ascii="Arial" w:hAnsi="Arial" w:cs="Arial"/>
                <w:sz w:val="22"/>
              </w:rPr>
              <w:t>Southern North Sea</w:t>
            </w:r>
          </w:p>
        </w:tc>
      </w:tr>
      <w:tr w:rsidR="00D61F2A" w:rsidRPr="008947FB" w14:paraId="1381C593" w14:textId="77777777" w:rsidTr="00D61F2A">
        <w:trPr>
          <w:gridAfter w:val="6"/>
          <w:divId w:val="496115790"/>
          <w:wAfter w:w="5348" w:type="dxa"/>
          <w:trHeight w:val="264"/>
        </w:trPr>
        <w:tc>
          <w:tcPr>
            <w:tcW w:w="1410" w:type="dxa"/>
            <w:noWrap/>
            <w:hideMark/>
          </w:tcPr>
          <w:p w14:paraId="733AFF65" w14:textId="77777777" w:rsidR="00D61F2A" w:rsidRPr="008947FB" w:rsidRDefault="00D61F2A" w:rsidP="008947FB">
            <w:pPr>
              <w:rPr>
                <w:rFonts w:ascii="Arial" w:hAnsi="Arial" w:cs="Arial"/>
                <w:sz w:val="22"/>
              </w:rPr>
            </w:pPr>
            <w:r w:rsidRPr="008947FB">
              <w:rPr>
                <w:rFonts w:ascii="Arial" w:hAnsi="Arial" w:cs="Arial"/>
                <w:sz w:val="22"/>
              </w:rPr>
              <w:t> </w:t>
            </w:r>
          </w:p>
        </w:tc>
        <w:tc>
          <w:tcPr>
            <w:tcW w:w="980" w:type="dxa"/>
            <w:hideMark/>
          </w:tcPr>
          <w:p w14:paraId="3964BCE7" w14:textId="77777777" w:rsidR="00D61F2A" w:rsidRPr="008947FB" w:rsidRDefault="00D61F2A" w:rsidP="008947FB">
            <w:pPr>
              <w:rPr>
                <w:lang w:eastAsia="en-GB"/>
              </w:rPr>
            </w:pPr>
            <w:r w:rsidRPr="008947FB">
              <w:rPr>
                <w:rFonts w:ascii="Arial" w:hAnsi="Arial" w:cs="Arial"/>
                <w:sz w:val="22"/>
              </w:rPr>
              <w:t xml:space="preserve">Platform </w:t>
            </w:r>
            <w:r w:rsidRPr="008947FB">
              <w:rPr>
                <w:lang w:eastAsia="en-GB"/>
              </w:rPr>
              <w:t>well P&amp;A</w:t>
            </w:r>
          </w:p>
        </w:tc>
        <w:tc>
          <w:tcPr>
            <w:tcW w:w="980" w:type="dxa"/>
            <w:hideMark/>
          </w:tcPr>
          <w:p w14:paraId="68AFC375" w14:textId="77777777" w:rsidR="00D61F2A" w:rsidRPr="008947FB" w:rsidRDefault="00D61F2A" w:rsidP="008947FB">
            <w:pPr>
              <w:rPr>
                <w:lang w:eastAsia="en-GB"/>
              </w:rPr>
            </w:pPr>
            <w:r w:rsidRPr="008947FB">
              <w:rPr>
                <w:rFonts w:ascii="Arial" w:hAnsi="Arial" w:cs="Arial"/>
                <w:sz w:val="22"/>
              </w:rPr>
              <w:t xml:space="preserve">Platform </w:t>
            </w:r>
            <w:r w:rsidRPr="008947FB">
              <w:rPr>
                <w:lang w:eastAsia="en-GB"/>
              </w:rPr>
              <w:t>well P&amp;A via HDJU</w:t>
            </w:r>
          </w:p>
        </w:tc>
        <w:tc>
          <w:tcPr>
            <w:tcW w:w="980" w:type="dxa"/>
            <w:hideMark/>
          </w:tcPr>
          <w:p w14:paraId="39EA3BAB" w14:textId="77777777" w:rsidR="00D61F2A" w:rsidRPr="008947FB" w:rsidRDefault="00D61F2A" w:rsidP="008947FB">
            <w:pPr>
              <w:rPr>
                <w:lang w:eastAsia="en-GB"/>
              </w:rPr>
            </w:pPr>
            <w:r w:rsidRPr="008947FB">
              <w:rPr>
                <w:rFonts w:ascii="Arial" w:hAnsi="Arial" w:cs="Arial"/>
                <w:sz w:val="22"/>
              </w:rPr>
              <w:t xml:space="preserve">Subsea </w:t>
            </w:r>
            <w:r w:rsidRPr="008947FB">
              <w:rPr>
                <w:lang w:eastAsia="en-GB"/>
              </w:rPr>
              <w:t>well P&amp;A</w:t>
            </w:r>
          </w:p>
        </w:tc>
        <w:tc>
          <w:tcPr>
            <w:tcW w:w="980" w:type="dxa"/>
            <w:gridSpan w:val="2"/>
            <w:hideMark/>
          </w:tcPr>
          <w:p w14:paraId="69FFD2A1" w14:textId="77777777" w:rsidR="00D61F2A" w:rsidRPr="008947FB" w:rsidRDefault="00D61F2A" w:rsidP="008947FB">
            <w:pPr>
              <w:rPr>
                <w:lang w:eastAsia="en-GB"/>
              </w:rPr>
            </w:pPr>
            <w:r w:rsidRPr="008947FB">
              <w:rPr>
                <w:rFonts w:ascii="Arial" w:hAnsi="Arial" w:cs="Arial"/>
                <w:sz w:val="22"/>
              </w:rPr>
              <w:t xml:space="preserve">Subsea </w:t>
            </w:r>
            <w:r w:rsidRPr="008947FB">
              <w:rPr>
                <w:lang w:eastAsia="en-GB"/>
              </w:rPr>
              <w:t>E&amp;A wells</w:t>
            </w:r>
          </w:p>
        </w:tc>
        <w:tc>
          <w:tcPr>
            <w:tcW w:w="980" w:type="dxa"/>
            <w:gridSpan w:val="2"/>
            <w:hideMark/>
          </w:tcPr>
          <w:p w14:paraId="16405D95" w14:textId="77777777" w:rsidR="00D61F2A" w:rsidRPr="008947FB" w:rsidRDefault="00D61F2A" w:rsidP="008947FB">
            <w:pPr>
              <w:rPr>
                <w:lang w:eastAsia="en-GB"/>
              </w:rPr>
            </w:pPr>
            <w:r w:rsidRPr="008947FB">
              <w:rPr>
                <w:rFonts w:ascii="Arial" w:hAnsi="Arial" w:cs="Arial"/>
                <w:sz w:val="22"/>
              </w:rPr>
              <w:t xml:space="preserve">Platform </w:t>
            </w:r>
            <w:r w:rsidRPr="008947FB">
              <w:rPr>
                <w:lang w:eastAsia="en-GB"/>
              </w:rPr>
              <w:t>well P&amp;A</w:t>
            </w:r>
          </w:p>
        </w:tc>
        <w:tc>
          <w:tcPr>
            <w:tcW w:w="980" w:type="dxa"/>
            <w:hideMark/>
          </w:tcPr>
          <w:p w14:paraId="3E52D09B" w14:textId="77777777" w:rsidR="00D61F2A" w:rsidRPr="008947FB" w:rsidRDefault="00D61F2A" w:rsidP="008947FB">
            <w:pPr>
              <w:rPr>
                <w:lang w:eastAsia="en-GB"/>
              </w:rPr>
            </w:pPr>
            <w:r w:rsidRPr="008947FB">
              <w:rPr>
                <w:rFonts w:ascii="Arial" w:hAnsi="Arial" w:cs="Arial"/>
                <w:sz w:val="22"/>
              </w:rPr>
              <w:t xml:space="preserve">Subsea </w:t>
            </w:r>
            <w:r w:rsidRPr="008947FB">
              <w:rPr>
                <w:lang w:eastAsia="en-GB"/>
              </w:rPr>
              <w:t xml:space="preserve">well P&amp;A </w:t>
            </w:r>
          </w:p>
        </w:tc>
        <w:tc>
          <w:tcPr>
            <w:tcW w:w="980" w:type="dxa"/>
            <w:gridSpan w:val="2"/>
            <w:hideMark/>
          </w:tcPr>
          <w:p w14:paraId="0A199BFC" w14:textId="77777777" w:rsidR="00D61F2A" w:rsidRPr="008947FB" w:rsidRDefault="00D61F2A" w:rsidP="008947FB">
            <w:pPr>
              <w:rPr>
                <w:lang w:eastAsia="en-GB"/>
              </w:rPr>
            </w:pPr>
            <w:r w:rsidRPr="008947FB">
              <w:rPr>
                <w:rFonts w:ascii="Arial" w:hAnsi="Arial" w:cs="Arial"/>
                <w:sz w:val="22"/>
              </w:rPr>
              <w:t xml:space="preserve">Subsea </w:t>
            </w:r>
            <w:r w:rsidRPr="008947FB">
              <w:rPr>
                <w:lang w:eastAsia="en-GB"/>
              </w:rPr>
              <w:t>E&amp;A wells</w:t>
            </w:r>
          </w:p>
        </w:tc>
      </w:tr>
      <w:tr w:rsidR="00D61F2A" w:rsidRPr="008947FB" w14:paraId="460BDB1C" w14:textId="77777777" w:rsidTr="008947FB">
        <w:trPr>
          <w:gridAfter w:val="6"/>
          <w:divId w:val="496115790"/>
          <w:wAfter w:w="5348" w:type="dxa"/>
          <w:trHeight w:val="264"/>
        </w:trPr>
        <w:tc>
          <w:tcPr>
            <w:tcW w:w="1410" w:type="dxa"/>
            <w:noWrap/>
            <w:hideMark/>
          </w:tcPr>
          <w:p w14:paraId="748566A0" w14:textId="77777777" w:rsidR="00D61F2A" w:rsidRPr="008947FB" w:rsidRDefault="00D61F2A" w:rsidP="008947FB">
            <w:pPr>
              <w:rPr>
                <w:rFonts w:ascii="Arial" w:hAnsi="Arial" w:cs="Arial"/>
                <w:sz w:val="22"/>
              </w:rPr>
            </w:pPr>
            <w:r w:rsidRPr="008947FB">
              <w:rPr>
                <w:rFonts w:ascii="Arial" w:hAnsi="Arial" w:cs="Arial"/>
                <w:sz w:val="22"/>
              </w:rPr>
              <w:t>P25</w:t>
            </w:r>
          </w:p>
        </w:tc>
        <w:tc>
          <w:tcPr>
            <w:tcW w:w="980" w:type="dxa"/>
            <w:noWrap/>
            <w:hideMark/>
          </w:tcPr>
          <w:p w14:paraId="3CBEFA3E" w14:textId="77777777" w:rsidR="00D61F2A" w:rsidRPr="008947FB" w:rsidRDefault="00D61F2A" w:rsidP="008947FB">
            <w:pPr>
              <w:rPr>
                <w:rFonts w:ascii="Arial" w:hAnsi="Arial" w:cs="Arial"/>
                <w:sz w:val="22"/>
              </w:rPr>
            </w:pPr>
            <w:r w:rsidRPr="008947FB">
              <w:rPr>
                <w:rFonts w:ascii="Arial" w:hAnsi="Arial" w:cs="Arial"/>
                <w:sz w:val="22"/>
              </w:rPr>
              <w:t>13</w:t>
            </w:r>
          </w:p>
        </w:tc>
        <w:tc>
          <w:tcPr>
            <w:tcW w:w="980" w:type="dxa"/>
            <w:noWrap/>
            <w:hideMark/>
          </w:tcPr>
          <w:p w14:paraId="0592E894" w14:textId="77777777" w:rsidR="00D61F2A" w:rsidRPr="008947FB" w:rsidRDefault="00D61F2A" w:rsidP="008947FB">
            <w:pPr>
              <w:rPr>
                <w:rFonts w:ascii="Arial" w:hAnsi="Arial" w:cs="Arial"/>
                <w:sz w:val="22"/>
              </w:rPr>
            </w:pPr>
            <w:r w:rsidRPr="008947FB">
              <w:rPr>
                <w:rFonts w:ascii="Arial" w:hAnsi="Arial" w:cs="Arial"/>
                <w:sz w:val="22"/>
              </w:rPr>
              <w:t>16</w:t>
            </w:r>
          </w:p>
        </w:tc>
        <w:tc>
          <w:tcPr>
            <w:tcW w:w="980" w:type="dxa"/>
            <w:noWrap/>
            <w:hideMark/>
          </w:tcPr>
          <w:p w14:paraId="6FF13740" w14:textId="77777777" w:rsidR="00D61F2A" w:rsidRPr="008947FB" w:rsidRDefault="00D61F2A" w:rsidP="008947FB">
            <w:pPr>
              <w:rPr>
                <w:rFonts w:ascii="Arial" w:hAnsi="Arial" w:cs="Arial"/>
                <w:sz w:val="22"/>
              </w:rPr>
            </w:pPr>
            <w:r w:rsidRPr="008947FB">
              <w:rPr>
                <w:rFonts w:ascii="Arial" w:hAnsi="Arial" w:cs="Arial"/>
                <w:sz w:val="22"/>
              </w:rPr>
              <w:t>23</w:t>
            </w:r>
          </w:p>
        </w:tc>
        <w:tc>
          <w:tcPr>
            <w:tcW w:w="980" w:type="dxa"/>
            <w:gridSpan w:val="2"/>
            <w:noWrap/>
            <w:hideMark/>
          </w:tcPr>
          <w:p w14:paraId="13E18904" w14:textId="77777777" w:rsidR="00D61F2A" w:rsidRPr="008947FB" w:rsidRDefault="00D61F2A" w:rsidP="008947FB">
            <w:pPr>
              <w:rPr>
                <w:rFonts w:ascii="Arial" w:hAnsi="Arial" w:cs="Arial"/>
                <w:sz w:val="22"/>
              </w:rPr>
            </w:pPr>
            <w:r w:rsidRPr="008947FB">
              <w:rPr>
                <w:rFonts w:ascii="Arial" w:hAnsi="Arial" w:cs="Arial"/>
                <w:sz w:val="22"/>
              </w:rPr>
              <w:t>11</w:t>
            </w:r>
          </w:p>
        </w:tc>
        <w:tc>
          <w:tcPr>
            <w:tcW w:w="980" w:type="dxa"/>
            <w:gridSpan w:val="2"/>
            <w:noWrap/>
            <w:hideMark/>
          </w:tcPr>
          <w:p w14:paraId="4E520E2F" w14:textId="77777777" w:rsidR="00D61F2A" w:rsidRPr="008947FB" w:rsidRDefault="00D61F2A" w:rsidP="008947FB">
            <w:pPr>
              <w:rPr>
                <w:rFonts w:ascii="Arial" w:hAnsi="Arial" w:cs="Arial"/>
                <w:sz w:val="22"/>
              </w:rPr>
            </w:pPr>
            <w:r w:rsidRPr="008947FB">
              <w:rPr>
                <w:rFonts w:ascii="Arial" w:hAnsi="Arial" w:cs="Arial"/>
                <w:sz w:val="22"/>
              </w:rPr>
              <w:t>8</w:t>
            </w:r>
          </w:p>
        </w:tc>
        <w:tc>
          <w:tcPr>
            <w:tcW w:w="980" w:type="dxa"/>
            <w:noWrap/>
            <w:hideMark/>
          </w:tcPr>
          <w:p w14:paraId="3CF6EF99" w14:textId="77777777" w:rsidR="00D61F2A" w:rsidRPr="008947FB" w:rsidRDefault="00D61F2A" w:rsidP="008947FB">
            <w:pPr>
              <w:rPr>
                <w:rFonts w:ascii="Arial" w:hAnsi="Arial" w:cs="Arial"/>
                <w:sz w:val="22"/>
              </w:rPr>
            </w:pPr>
            <w:r w:rsidRPr="008947FB">
              <w:rPr>
                <w:rFonts w:ascii="Arial" w:hAnsi="Arial" w:cs="Arial"/>
                <w:sz w:val="22"/>
              </w:rPr>
              <w:t>20</w:t>
            </w:r>
          </w:p>
        </w:tc>
        <w:tc>
          <w:tcPr>
            <w:tcW w:w="980" w:type="dxa"/>
            <w:gridSpan w:val="2"/>
            <w:noWrap/>
            <w:hideMark/>
          </w:tcPr>
          <w:p w14:paraId="6852A835" w14:textId="77777777" w:rsidR="00D61F2A" w:rsidRPr="008947FB" w:rsidRDefault="00D61F2A" w:rsidP="008947FB">
            <w:pPr>
              <w:rPr>
                <w:rFonts w:ascii="Arial" w:hAnsi="Arial" w:cs="Arial"/>
                <w:sz w:val="22"/>
              </w:rPr>
            </w:pPr>
            <w:r w:rsidRPr="008947FB">
              <w:rPr>
                <w:rFonts w:ascii="Arial" w:hAnsi="Arial" w:cs="Arial"/>
                <w:sz w:val="22"/>
              </w:rPr>
              <w:t>20</w:t>
            </w:r>
          </w:p>
        </w:tc>
      </w:tr>
      <w:tr w:rsidR="00D61F2A" w:rsidRPr="008947FB" w14:paraId="2D62CD01" w14:textId="77777777" w:rsidTr="008947FB">
        <w:trPr>
          <w:gridAfter w:val="6"/>
          <w:divId w:val="496115790"/>
          <w:wAfter w:w="5348" w:type="dxa"/>
          <w:trHeight w:val="270"/>
        </w:trPr>
        <w:tc>
          <w:tcPr>
            <w:tcW w:w="1410" w:type="dxa"/>
            <w:noWrap/>
            <w:hideMark/>
          </w:tcPr>
          <w:p w14:paraId="4FE1A38D" w14:textId="77777777" w:rsidR="00D61F2A" w:rsidRPr="008947FB" w:rsidRDefault="00D61F2A" w:rsidP="008947FB">
            <w:pPr>
              <w:rPr>
                <w:rFonts w:ascii="Arial" w:hAnsi="Arial" w:cs="Arial"/>
                <w:sz w:val="22"/>
              </w:rPr>
            </w:pPr>
            <w:r w:rsidRPr="008947FB">
              <w:rPr>
                <w:rFonts w:ascii="Arial" w:hAnsi="Arial" w:cs="Arial"/>
                <w:sz w:val="22"/>
              </w:rPr>
              <w:t>P50</w:t>
            </w:r>
          </w:p>
        </w:tc>
        <w:tc>
          <w:tcPr>
            <w:tcW w:w="980" w:type="dxa"/>
            <w:noWrap/>
            <w:hideMark/>
          </w:tcPr>
          <w:p w14:paraId="1E4C4505" w14:textId="77777777" w:rsidR="00D61F2A" w:rsidRPr="008947FB" w:rsidRDefault="00D61F2A" w:rsidP="008947FB">
            <w:pPr>
              <w:rPr>
                <w:rFonts w:ascii="Arial" w:hAnsi="Arial" w:cs="Arial"/>
                <w:sz w:val="22"/>
              </w:rPr>
            </w:pPr>
            <w:r w:rsidRPr="008947FB">
              <w:rPr>
                <w:rFonts w:ascii="Arial" w:hAnsi="Arial" w:cs="Arial"/>
                <w:sz w:val="22"/>
              </w:rPr>
              <w:t>21</w:t>
            </w:r>
          </w:p>
        </w:tc>
        <w:tc>
          <w:tcPr>
            <w:tcW w:w="980" w:type="dxa"/>
            <w:noWrap/>
            <w:hideMark/>
          </w:tcPr>
          <w:p w14:paraId="6F00A0C3" w14:textId="77777777" w:rsidR="00D61F2A" w:rsidRPr="008947FB" w:rsidRDefault="00D61F2A" w:rsidP="008947FB">
            <w:pPr>
              <w:rPr>
                <w:rFonts w:ascii="Arial" w:hAnsi="Arial" w:cs="Arial"/>
                <w:sz w:val="22"/>
              </w:rPr>
            </w:pPr>
            <w:r w:rsidRPr="008947FB">
              <w:rPr>
                <w:rFonts w:ascii="Arial" w:hAnsi="Arial" w:cs="Arial"/>
                <w:sz w:val="22"/>
              </w:rPr>
              <w:t>21</w:t>
            </w:r>
          </w:p>
        </w:tc>
        <w:tc>
          <w:tcPr>
            <w:tcW w:w="980" w:type="dxa"/>
            <w:noWrap/>
            <w:hideMark/>
          </w:tcPr>
          <w:p w14:paraId="062451C7" w14:textId="77777777" w:rsidR="00D61F2A" w:rsidRPr="008947FB" w:rsidRDefault="00D61F2A" w:rsidP="008947FB">
            <w:pPr>
              <w:rPr>
                <w:rFonts w:ascii="Arial" w:hAnsi="Arial" w:cs="Arial"/>
                <w:sz w:val="22"/>
              </w:rPr>
            </w:pPr>
            <w:r w:rsidRPr="008947FB">
              <w:rPr>
                <w:rFonts w:ascii="Arial" w:hAnsi="Arial" w:cs="Arial"/>
                <w:sz w:val="22"/>
              </w:rPr>
              <w:t>31</w:t>
            </w:r>
          </w:p>
        </w:tc>
        <w:tc>
          <w:tcPr>
            <w:tcW w:w="980" w:type="dxa"/>
            <w:gridSpan w:val="2"/>
            <w:noWrap/>
            <w:hideMark/>
          </w:tcPr>
          <w:p w14:paraId="3A61F95D" w14:textId="77777777" w:rsidR="00D61F2A" w:rsidRPr="008947FB" w:rsidRDefault="00D61F2A" w:rsidP="008947FB">
            <w:pPr>
              <w:rPr>
                <w:rFonts w:ascii="Arial" w:hAnsi="Arial" w:cs="Arial"/>
                <w:sz w:val="22"/>
              </w:rPr>
            </w:pPr>
            <w:r w:rsidRPr="008947FB">
              <w:rPr>
                <w:rFonts w:ascii="Arial" w:hAnsi="Arial" w:cs="Arial"/>
                <w:sz w:val="22"/>
              </w:rPr>
              <w:t>27</w:t>
            </w:r>
          </w:p>
        </w:tc>
        <w:tc>
          <w:tcPr>
            <w:tcW w:w="980" w:type="dxa"/>
            <w:gridSpan w:val="2"/>
            <w:noWrap/>
            <w:hideMark/>
          </w:tcPr>
          <w:p w14:paraId="5BA835DB" w14:textId="77777777" w:rsidR="00D61F2A" w:rsidRPr="008947FB" w:rsidRDefault="00D61F2A" w:rsidP="008947FB">
            <w:pPr>
              <w:rPr>
                <w:rFonts w:ascii="Arial" w:hAnsi="Arial" w:cs="Arial"/>
                <w:sz w:val="22"/>
              </w:rPr>
            </w:pPr>
            <w:r w:rsidRPr="008947FB">
              <w:rPr>
                <w:rFonts w:ascii="Arial" w:hAnsi="Arial" w:cs="Arial"/>
                <w:sz w:val="22"/>
              </w:rPr>
              <w:t>14</w:t>
            </w:r>
          </w:p>
        </w:tc>
        <w:tc>
          <w:tcPr>
            <w:tcW w:w="980" w:type="dxa"/>
            <w:noWrap/>
            <w:hideMark/>
          </w:tcPr>
          <w:p w14:paraId="5F2700ED" w14:textId="77777777" w:rsidR="00D61F2A" w:rsidRPr="008947FB" w:rsidRDefault="00D61F2A" w:rsidP="008947FB">
            <w:pPr>
              <w:rPr>
                <w:rFonts w:ascii="Arial" w:hAnsi="Arial" w:cs="Arial"/>
                <w:sz w:val="22"/>
              </w:rPr>
            </w:pPr>
            <w:r w:rsidRPr="008947FB">
              <w:rPr>
                <w:rFonts w:ascii="Arial" w:hAnsi="Arial" w:cs="Arial"/>
                <w:sz w:val="22"/>
              </w:rPr>
              <w:t>26</w:t>
            </w:r>
          </w:p>
        </w:tc>
        <w:tc>
          <w:tcPr>
            <w:tcW w:w="980" w:type="dxa"/>
            <w:gridSpan w:val="2"/>
            <w:noWrap/>
            <w:hideMark/>
          </w:tcPr>
          <w:p w14:paraId="765B734A" w14:textId="77777777" w:rsidR="00D61F2A" w:rsidRPr="008947FB" w:rsidRDefault="00D61F2A" w:rsidP="008947FB">
            <w:pPr>
              <w:rPr>
                <w:rFonts w:ascii="Arial" w:hAnsi="Arial" w:cs="Arial"/>
                <w:sz w:val="22"/>
              </w:rPr>
            </w:pPr>
            <w:r w:rsidRPr="008947FB">
              <w:rPr>
                <w:rFonts w:ascii="Arial" w:hAnsi="Arial" w:cs="Arial"/>
                <w:sz w:val="22"/>
              </w:rPr>
              <w:t>30</w:t>
            </w:r>
          </w:p>
        </w:tc>
      </w:tr>
    </w:tbl>
    <w:p w14:paraId="5C86903C" w14:textId="1228B600" w:rsidR="0031128F" w:rsidRPr="00811872" w:rsidRDefault="00FE2F5F" w:rsidP="00811872">
      <w:pPr>
        <w:rPr>
          <w:rFonts w:ascii="Arial" w:hAnsi="Arial" w:cs="Arial"/>
          <w:sz w:val="22"/>
          <w:lang w:val="en-GB"/>
        </w:rPr>
      </w:pPr>
      <w:r>
        <w:rPr>
          <w:rFonts w:ascii="Arial" w:hAnsi="Arial" w:cs="Arial"/>
          <w:sz w:val="22"/>
          <w:lang w:val="en-GB"/>
        </w:rPr>
        <w:fldChar w:fldCharType="end"/>
      </w:r>
    </w:p>
    <w:p w14:paraId="76479911" w14:textId="651E718A" w:rsidR="00A90DD3" w:rsidRDefault="005E109C" w:rsidP="009D54F3">
      <w:pPr>
        <w:pStyle w:val="Heading1"/>
        <w:jc w:val="left"/>
        <w:rPr>
          <w:lang w:val="en-GB"/>
        </w:rPr>
      </w:pPr>
      <w:bookmarkStart w:id="134" w:name="_Toc85627564"/>
      <w:bookmarkStart w:id="135" w:name="_Hlk85191945"/>
      <w:r>
        <w:rPr>
          <w:lang w:val="en-GB"/>
        </w:rPr>
        <w:t xml:space="preserve">5.1 </w:t>
      </w:r>
      <w:r w:rsidR="00184A74">
        <w:rPr>
          <w:lang w:val="en-GB"/>
        </w:rPr>
        <w:t>Platform well decommissioning costs</w:t>
      </w:r>
      <w:bookmarkEnd w:id="134"/>
      <w:r w:rsidR="00CC1915" w:rsidRPr="00C40698">
        <w:rPr>
          <w:lang w:val="en-GB"/>
        </w:rPr>
        <w:t xml:space="preserve"> </w:t>
      </w:r>
    </w:p>
    <w:bookmarkEnd w:id="135"/>
    <w:p w14:paraId="1DFD8BD9" w14:textId="77777777" w:rsidR="00A90DD3" w:rsidRDefault="00A90DD3" w:rsidP="00DA5811">
      <w:pPr>
        <w:ind w:left="720"/>
        <w:jc w:val="both"/>
        <w:rPr>
          <w:rFonts w:ascii="Arial" w:hAnsi="Arial" w:cs="Arial"/>
          <w:b/>
          <w:sz w:val="22"/>
          <w:szCs w:val="24"/>
          <w:u w:val="single"/>
          <w:lang w:val="en-GB"/>
        </w:rPr>
      </w:pPr>
    </w:p>
    <w:p w14:paraId="7BC4B960" w14:textId="33C815EA" w:rsidR="00CC1915" w:rsidRDefault="00CC1915" w:rsidP="00F1757D">
      <w:pPr>
        <w:jc w:val="both"/>
        <w:rPr>
          <w:rFonts w:ascii="Arial" w:hAnsi="Arial" w:cs="Arial"/>
          <w:b/>
          <w:sz w:val="22"/>
          <w:szCs w:val="24"/>
          <w:u w:val="single"/>
          <w:lang w:val="en-GB"/>
        </w:rPr>
      </w:pPr>
      <w:r w:rsidRPr="00C40698">
        <w:rPr>
          <w:rFonts w:ascii="Arial" w:hAnsi="Arial" w:cs="Arial"/>
          <w:b/>
          <w:sz w:val="22"/>
          <w:szCs w:val="24"/>
          <w:u w:val="single"/>
          <w:lang w:val="en-GB"/>
        </w:rPr>
        <w:t>NNS &amp; CNS</w:t>
      </w:r>
    </w:p>
    <w:p w14:paraId="2784C0B5" w14:textId="77777777" w:rsidR="00E23EDC" w:rsidRDefault="00E23EDC" w:rsidP="00F1757D">
      <w:pPr>
        <w:jc w:val="both"/>
        <w:rPr>
          <w:rFonts w:ascii="Arial" w:hAnsi="Arial" w:cs="Arial"/>
          <w:b/>
          <w:sz w:val="22"/>
          <w:szCs w:val="24"/>
          <w:u w:val="single"/>
          <w:lang w:val="en-GB"/>
        </w:rPr>
      </w:pPr>
    </w:p>
    <w:p w14:paraId="7056CC60" w14:textId="77777777" w:rsidR="00F85062" w:rsidRDefault="007862B4" w:rsidP="00F1757D">
      <w:pPr>
        <w:jc w:val="both"/>
        <w:rPr>
          <w:rFonts w:ascii="Arial" w:hAnsi="Arial" w:cs="Arial"/>
          <w:sz w:val="22"/>
          <w:lang w:val="en-GB"/>
        </w:rPr>
      </w:pPr>
      <w:r>
        <w:rPr>
          <w:rFonts w:ascii="Arial" w:hAnsi="Arial" w:cs="Arial"/>
          <w:sz w:val="22"/>
          <w:lang w:val="en-GB"/>
        </w:rPr>
        <w:t xml:space="preserve">Consistent with prior years, a </w:t>
      </w:r>
      <w:r w:rsidR="0019009A">
        <w:rPr>
          <w:rFonts w:ascii="Arial" w:hAnsi="Arial" w:cs="Arial"/>
          <w:sz w:val="22"/>
          <w:lang w:val="en-GB"/>
        </w:rPr>
        <w:t xml:space="preserve">wide range of cost </w:t>
      </w:r>
      <w:r>
        <w:rPr>
          <w:rFonts w:ascii="Arial" w:hAnsi="Arial" w:cs="Arial"/>
          <w:sz w:val="22"/>
          <w:lang w:val="en-GB"/>
        </w:rPr>
        <w:t xml:space="preserve">outcomes </w:t>
      </w:r>
      <w:r w:rsidR="0019009A">
        <w:rPr>
          <w:rFonts w:ascii="Arial" w:hAnsi="Arial" w:cs="Arial"/>
          <w:sz w:val="22"/>
          <w:lang w:val="en-GB"/>
        </w:rPr>
        <w:t xml:space="preserve">continues to be </w:t>
      </w:r>
      <w:r w:rsidR="00953BF7">
        <w:rPr>
          <w:rFonts w:ascii="Arial" w:hAnsi="Arial" w:cs="Arial"/>
          <w:sz w:val="22"/>
          <w:lang w:val="en-GB"/>
        </w:rPr>
        <w:t>observed</w:t>
      </w:r>
      <w:r>
        <w:rPr>
          <w:rFonts w:ascii="Arial" w:hAnsi="Arial" w:cs="Arial"/>
          <w:sz w:val="22"/>
          <w:lang w:val="en-GB"/>
        </w:rPr>
        <w:t xml:space="preserve">. </w:t>
      </w:r>
    </w:p>
    <w:p w14:paraId="7DBF7EBE" w14:textId="77777777" w:rsidR="00F85062" w:rsidRDefault="00F85062" w:rsidP="00F1757D">
      <w:pPr>
        <w:jc w:val="both"/>
        <w:rPr>
          <w:rFonts w:ascii="Arial" w:hAnsi="Arial" w:cs="Arial"/>
          <w:sz w:val="22"/>
          <w:lang w:val="en-GB"/>
        </w:rPr>
      </w:pPr>
    </w:p>
    <w:p w14:paraId="2FE795E9" w14:textId="5BF69BF0" w:rsidR="00E23EDC" w:rsidRPr="00431698" w:rsidRDefault="006E6FD0" w:rsidP="00F1757D">
      <w:pPr>
        <w:jc w:val="both"/>
        <w:rPr>
          <w:rFonts w:ascii="Arial" w:hAnsi="Arial" w:cs="Arial"/>
          <w:sz w:val="22"/>
          <w:lang w:val="en-GB"/>
        </w:rPr>
      </w:pPr>
      <w:r>
        <w:rPr>
          <w:rFonts w:ascii="Arial" w:hAnsi="Arial" w:cs="Arial"/>
          <w:sz w:val="22"/>
          <w:lang w:val="en-GB"/>
        </w:rPr>
        <w:t>This m</w:t>
      </w:r>
      <w:r w:rsidRPr="00431698">
        <w:rPr>
          <w:rFonts w:ascii="Arial" w:hAnsi="Arial" w:cs="Arial"/>
          <w:sz w:val="22"/>
          <w:lang w:val="en-GB"/>
        </w:rPr>
        <w:t>etric</w:t>
      </w:r>
      <w:r w:rsidR="00E23EDC" w:rsidRPr="00431698">
        <w:rPr>
          <w:rFonts w:ascii="Arial" w:hAnsi="Arial" w:cs="Arial"/>
          <w:sz w:val="22"/>
          <w:lang w:val="en-GB"/>
        </w:rPr>
        <w:t xml:space="preserve"> includes costs associated with rig reactiv</w:t>
      </w:r>
      <w:r w:rsidR="00431698" w:rsidRPr="00431698">
        <w:rPr>
          <w:rFonts w:ascii="Arial" w:hAnsi="Arial" w:cs="Arial"/>
          <w:sz w:val="22"/>
          <w:lang w:val="en-GB"/>
        </w:rPr>
        <w:t>ation (where appropriate)</w:t>
      </w:r>
      <w:r>
        <w:rPr>
          <w:rFonts w:ascii="Arial" w:hAnsi="Arial" w:cs="Arial"/>
          <w:sz w:val="22"/>
          <w:lang w:val="en-GB"/>
        </w:rPr>
        <w:t>, con</w:t>
      </w:r>
      <w:r w:rsidR="0095413B">
        <w:rPr>
          <w:rFonts w:ascii="Arial" w:hAnsi="Arial" w:cs="Arial"/>
          <w:sz w:val="22"/>
          <w:lang w:val="en-GB"/>
        </w:rPr>
        <w:t xml:space="preserve">sistent with the OGUK </w:t>
      </w:r>
      <w:r w:rsidR="00ED1C46">
        <w:rPr>
          <w:rFonts w:ascii="Arial" w:hAnsi="Arial" w:cs="Arial"/>
          <w:sz w:val="22"/>
          <w:lang w:val="en-GB"/>
        </w:rPr>
        <w:t>Decommissioning Work Breakdown Structure (WBS)</w:t>
      </w:r>
      <w:r w:rsidR="00431698">
        <w:rPr>
          <w:rFonts w:ascii="Arial" w:hAnsi="Arial" w:cs="Arial"/>
          <w:sz w:val="22"/>
          <w:lang w:val="en-GB"/>
        </w:rPr>
        <w:t>.</w:t>
      </w:r>
    </w:p>
    <w:p w14:paraId="4508960E" w14:textId="77777777" w:rsidR="00CC1915" w:rsidRDefault="00CC1915" w:rsidP="00F1757D">
      <w:pPr>
        <w:jc w:val="both"/>
        <w:rPr>
          <w:rFonts w:ascii="Arial" w:hAnsi="Arial" w:cs="Arial"/>
          <w:sz w:val="22"/>
          <w:szCs w:val="24"/>
          <w:lang w:val="en-GB"/>
        </w:rPr>
      </w:pPr>
    </w:p>
    <w:p w14:paraId="1C04B621" w14:textId="15D9B59A" w:rsidR="00D03800" w:rsidRDefault="00D03800" w:rsidP="00F1757D">
      <w:pPr>
        <w:rPr>
          <w:rFonts w:ascii="Arial" w:hAnsi="Arial" w:cs="Arial"/>
          <w:sz w:val="22"/>
          <w:lang w:val="en-GB"/>
        </w:rPr>
      </w:pPr>
      <w:r>
        <w:rPr>
          <w:rFonts w:ascii="Arial" w:hAnsi="Arial" w:cs="Arial"/>
          <w:sz w:val="22"/>
          <w:lang w:val="en-GB"/>
        </w:rPr>
        <w:t xml:space="preserve">Sample Size: </w:t>
      </w:r>
      <w:r w:rsidR="00816F73" w:rsidRPr="00816F73">
        <w:rPr>
          <w:rFonts w:ascii="Arial" w:hAnsi="Arial" w:cs="Arial"/>
          <w:sz w:val="22"/>
          <w:lang w:val="en-GB"/>
        </w:rPr>
        <w:t>&gt;50</w:t>
      </w:r>
    </w:p>
    <w:p w14:paraId="1E1B0610" w14:textId="77777777" w:rsidR="00B25285" w:rsidRPr="00C95CDF" w:rsidRDefault="00B25285" w:rsidP="00DA5811">
      <w:pPr>
        <w:ind w:left="1440"/>
        <w:rPr>
          <w:rFonts w:ascii="Arial" w:hAnsi="Arial" w:cs="Arial"/>
          <w:sz w:val="22"/>
          <w:lang w:val="en-GB"/>
        </w:rPr>
      </w:pPr>
    </w:p>
    <w:p w14:paraId="402EB710" w14:textId="28C6D136" w:rsidR="00262007" w:rsidRDefault="0089429B" w:rsidP="00C41D4F">
      <w:pPr>
        <w:jc w:val="both"/>
        <w:rPr>
          <w:rFonts w:ascii="Arial" w:hAnsi="Arial"/>
          <w:b/>
          <w:sz w:val="22"/>
          <w:szCs w:val="22"/>
          <w:lang w:val="en-GB"/>
        </w:rPr>
      </w:pPr>
      <w:r w:rsidRPr="009E0CFB">
        <w:rPr>
          <w:rFonts w:ascii="Arial" w:hAnsi="Arial"/>
          <w:b/>
          <w:sz w:val="22"/>
          <w:szCs w:val="22"/>
          <w:lang w:val="en-GB"/>
        </w:rPr>
        <w:t xml:space="preserve">Figure </w:t>
      </w:r>
      <w:r w:rsidR="00F37312">
        <w:rPr>
          <w:rFonts w:ascii="Arial" w:hAnsi="Arial"/>
          <w:b/>
          <w:sz w:val="22"/>
          <w:szCs w:val="22"/>
          <w:lang w:val="en-GB"/>
        </w:rPr>
        <w:t>10</w:t>
      </w:r>
      <w:r w:rsidRPr="009E0CFB">
        <w:rPr>
          <w:rFonts w:ascii="Arial" w:hAnsi="Arial"/>
          <w:b/>
          <w:sz w:val="22"/>
          <w:szCs w:val="22"/>
          <w:lang w:val="en-GB"/>
        </w:rPr>
        <w:t xml:space="preserve">: </w:t>
      </w:r>
      <w:r w:rsidR="00C727B6">
        <w:rPr>
          <w:rFonts w:ascii="Arial" w:hAnsi="Arial"/>
          <w:b/>
          <w:sz w:val="22"/>
          <w:szCs w:val="22"/>
          <w:lang w:val="en-GB"/>
        </w:rPr>
        <w:t>P</w:t>
      </w:r>
      <w:r w:rsidRPr="009E0CFB">
        <w:rPr>
          <w:rFonts w:ascii="Arial" w:hAnsi="Arial"/>
          <w:b/>
          <w:sz w:val="22"/>
          <w:szCs w:val="22"/>
          <w:lang w:val="en-GB"/>
        </w:rPr>
        <w:t xml:space="preserve">latform </w:t>
      </w:r>
      <w:r w:rsidR="00074A0A">
        <w:rPr>
          <w:rFonts w:ascii="Arial" w:hAnsi="Arial"/>
          <w:b/>
          <w:sz w:val="22"/>
          <w:szCs w:val="22"/>
          <w:lang w:val="en-GB"/>
        </w:rPr>
        <w:t>well decommissioning</w:t>
      </w:r>
      <w:r w:rsidRPr="009E0CFB">
        <w:rPr>
          <w:rFonts w:ascii="Arial" w:hAnsi="Arial"/>
          <w:b/>
          <w:sz w:val="22"/>
          <w:szCs w:val="22"/>
          <w:lang w:val="en-GB"/>
        </w:rPr>
        <w:t xml:space="preserve"> cost distribution: </w:t>
      </w:r>
      <w:r w:rsidR="006F6D1A" w:rsidRPr="009E0CFB">
        <w:rPr>
          <w:rFonts w:ascii="Arial" w:hAnsi="Arial"/>
          <w:b/>
          <w:sz w:val="22"/>
          <w:szCs w:val="22"/>
          <w:lang w:val="en-GB"/>
        </w:rPr>
        <w:t>NNS</w:t>
      </w:r>
      <w:r w:rsidRPr="009E0CFB">
        <w:rPr>
          <w:rFonts w:ascii="Arial" w:hAnsi="Arial"/>
          <w:b/>
          <w:sz w:val="22"/>
          <w:szCs w:val="22"/>
          <w:lang w:val="en-GB"/>
        </w:rPr>
        <w:t xml:space="preserve"> &amp; C</w:t>
      </w:r>
      <w:r w:rsidR="006F6D1A" w:rsidRPr="009E0CFB">
        <w:rPr>
          <w:rFonts w:ascii="Arial" w:hAnsi="Arial"/>
          <w:b/>
          <w:sz w:val="22"/>
          <w:szCs w:val="22"/>
          <w:lang w:val="en-GB"/>
        </w:rPr>
        <w:t>NS</w:t>
      </w:r>
    </w:p>
    <w:p w14:paraId="11E7EFEC" w14:textId="46A25A4D" w:rsidR="00DF3438" w:rsidRPr="00DF3438" w:rsidRDefault="00DF3438" w:rsidP="00C41D4F">
      <w:pPr>
        <w:jc w:val="both"/>
        <w:rPr>
          <w:rFonts w:ascii="Arial" w:hAnsi="Arial"/>
          <w:b/>
          <w:sz w:val="22"/>
          <w:szCs w:val="22"/>
          <w:lang w:val="en-GB"/>
        </w:rPr>
      </w:pPr>
    </w:p>
    <w:bookmarkEnd w:id="117"/>
    <w:p w14:paraId="5B31BCE6" w14:textId="1387DC4D" w:rsidR="00F0590A" w:rsidRPr="00F0590A" w:rsidRDefault="00075D33" w:rsidP="008947FB">
      <w:pPr>
        <w:jc w:val="both"/>
        <w:rPr>
          <w:rFonts w:ascii="Arial" w:hAnsi="Arial" w:cs="Arial"/>
          <w:sz w:val="22"/>
          <w:szCs w:val="24"/>
          <w:lang w:val="en-GB"/>
        </w:rPr>
      </w:pPr>
      <w:r>
        <w:rPr>
          <w:rFonts w:ascii="Arial" w:hAnsi="Arial" w:cs="Arial"/>
          <w:noProof/>
          <w:sz w:val="22"/>
          <w:szCs w:val="24"/>
          <w:lang w:val="en-GB"/>
        </w:rPr>
        <w:drawing>
          <wp:inline distT="0" distB="0" distL="0" distR="0" wp14:anchorId="149737B5" wp14:editId="1FC3B74C">
            <wp:extent cx="4314093" cy="2520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25861" cy="2527014"/>
                    </a:xfrm>
                    <a:prstGeom prst="rect">
                      <a:avLst/>
                    </a:prstGeom>
                    <a:noFill/>
                  </pic:spPr>
                </pic:pic>
              </a:graphicData>
            </a:graphic>
          </wp:inline>
        </w:drawing>
      </w:r>
      <w:r w:rsidR="00FD38E2" w:rsidRPr="00FD38E2">
        <w:rPr>
          <w:noProof/>
        </w:rPr>
        <w:drawing>
          <wp:inline distT="0" distB="0" distL="0" distR="0" wp14:anchorId="7BF8443D" wp14:editId="040D7681">
            <wp:extent cx="1277620" cy="6388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7620" cy="638810"/>
                    </a:xfrm>
                    <a:prstGeom prst="rect">
                      <a:avLst/>
                    </a:prstGeom>
                    <a:noFill/>
                    <a:ln>
                      <a:noFill/>
                    </a:ln>
                  </pic:spPr>
                </pic:pic>
              </a:graphicData>
            </a:graphic>
          </wp:inline>
        </w:drawing>
      </w:r>
    </w:p>
    <w:p w14:paraId="4F5EE988" w14:textId="3C572C34" w:rsidR="00DC4937" w:rsidRPr="009E0CFB" w:rsidRDefault="005C3824" w:rsidP="008947FB">
      <w:pPr>
        <w:jc w:val="both"/>
        <w:rPr>
          <w:rFonts w:ascii="Arial" w:hAnsi="Arial" w:cs="Arial"/>
          <w:sz w:val="22"/>
          <w:szCs w:val="24"/>
          <w:lang w:val="en-GB"/>
        </w:rPr>
      </w:pPr>
      <w:r w:rsidRPr="005C3824">
        <w:rPr>
          <w:rFonts w:ascii="Arial" w:hAnsi="Arial" w:cs="Arial"/>
          <w:sz w:val="22"/>
          <w:szCs w:val="24"/>
          <w:lang w:val="en-GB"/>
        </w:rPr>
        <w:t xml:space="preserve"> </w:t>
      </w:r>
    </w:p>
    <w:p w14:paraId="1E28A676" w14:textId="77777777" w:rsidR="002D2969" w:rsidRPr="009E0CFB" w:rsidRDefault="002D2969" w:rsidP="00824292">
      <w:pPr>
        <w:rPr>
          <w:rFonts w:ascii="Arial" w:hAnsi="Arial" w:cs="Arial"/>
          <w:sz w:val="22"/>
          <w:lang w:val="en-GB"/>
        </w:rPr>
      </w:pPr>
    </w:p>
    <w:p w14:paraId="068EBEF3" w14:textId="4C5E38A4" w:rsidR="002D2969" w:rsidRDefault="002D2969" w:rsidP="00D27BBA">
      <w:pPr>
        <w:jc w:val="both"/>
        <w:rPr>
          <w:rFonts w:ascii="Arial" w:hAnsi="Arial" w:cs="Arial"/>
          <w:color w:val="CC00FF"/>
          <w:sz w:val="22"/>
          <w:szCs w:val="24"/>
          <w:lang w:val="en-GB"/>
        </w:rPr>
      </w:pPr>
    </w:p>
    <w:p w14:paraId="55AFC45E" w14:textId="3E3BDEB3" w:rsidR="005C10BB" w:rsidRDefault="00CB4F80" w:rsidP="00D27BBA">
      <w:pPr>
        <w:jc w:val="both"/>
        <w:rPr>
          <w:rFonts w:ascii="Arial" w:hAnsi="Arial" w:cs="Arial"/>
          <w:color w:val="CC00FF"/>
          <w:sz w:val="22"/>
          <w:szCs w:val="24"/>
          <w:lang w:val="en-GB"/>
        </w:rPr>
      </w:pPr>
      <w:r w:rsidRPr="00CB4F80">
        <w:rPr>
          <w:rFonts w:ascii="Arial" w:hAnsi="Arial" w:cs="Arial"/>
          <w:noProof/>
          <w:color w:val="CC00FF"/>
          <w:sz w:val="22"/>
          <w:szCs w:val="24"/>
          <w:lang w:val="en-GB"/>
        </w:rPr>
        <w:drawing>
          <wp:inline distT="0" distB="0" distL="0" distR="0" wp14:anchorId="19DB6155" wp14:editId="4F2A6774">
            <wp:extent cx="4686939" cy="2854569"/>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11657" cy="2869623"/>
                    </a:xfrm>
                    <a:prstGeom prst="rect">
                      <a:avLst/>
                    </a:prstGeom>
                  </pic:spPr>
                </pic:pic>
              </a:graphicData>
            </a:graphic>
          </wp:inline>
        </w:drawing>
      </w:r>
    </w:p>
    <w:p w14:paraId="4EF367C8" w14:textId="1D390041" w:rsidR="009A3263" w:rsidRPr="008006E2" w:rsidRDefault="005C10BB" w:rsidP="00F1757D">
      <w:pPr>
        <w:rPr>
          <w:rFonts w:ascii="Arial" w:hAnsi="Arial"/>
          <w:b/>
          <w:sz w:val="22"/>
          <w:szCs w:val="22"/>
          <w:u w:val="single"/>
          <w:lang w:val="en-GB"/>
        </w:rPr>
      </w:pPr>
      <w:r>
        <w:rPr>
          <w:rFonts w:ascii="Arial" w:hAnsi="Arial"/>
          <w:b/>
          <w:sz w:val="22"/>
          <w:szCs w:val="22"/>
          <w:lang w:val="en-GB"/>
        </w:rPr>
        <w:br w:type="page"/>
      </w:r>
      <w:r w:rsidR="00DA5811" w:rsidRPr="008006E2">
        <w:rPr>
          <w:rFonts w:ascii="Arial" w:hAnsi="Arial"/>
          <w:b/>
          <w:sz w:val="22"/>
          <w:szCs w:val="22"/>
          <w:u w:val="single"/>
          <w:lang w:val="en-GB"/>
        </w:rPr>
        <w:t>Jack</w:t>
      </w:r>
      <w:r w:rsidR="002327F2" w:rsidRPr="008006E2">
        <w:rPr>
          <w:rFonts w:ascii="Arial" w:hAnsi="Arial" w:cs="Arial"/>
          <w:b/>
          <w:sz w:val="22"/>
          <w:szCs w:val="24"/>
          <w:u w:val="single"/>
          <w:lang w:val="en-GB"/>
        </w:rPr>
        <w:t>-up rigs</w:t>
      </w:r>
      <w:r w:rsidR="009A3263" w:rsidRPr="008006E2">
        <w:rPr>
          <w:rFonts w:ascii="Arial" w:hAnsi="Arial" w:cs="Arial"/>
          <w:b/>
          <w:sz w:val="22"/>
          <w:szCs w:val="24"/>
          <w:u w:val="single"/>
          <w:lang w:val="en-GB"/>
        </w:rPr>
        <w:t xml:space="preserve"> in the NNS &amp; CNS</w:t>
      </w:r>
    </w:p>
    <w:p w14:paraId="6AE13507" w14:textId="77777777" w:rsidR="009A3263" w:rsidRPr="008947FB" w:rsidRDefault="009A3263" w:rsidP="00F1757D">
      <w:pPr>
        <w:jc w:val="both"/>
        <w:rPr>
          <w:rFonts w:ascii="Arial" w:hAnsi="Arial" w:cs="Arial"/>
          <w:sz w:val="22"/>
          <w:szCs w:val="24"/>
          <w:highlight w:val="yellow"/>
          <w:lang w:val="en-GB"/>
        </w:rPr>
      </w:pPr>
    </w:p>
    <w:p w14:paraId="4EDF164F" w14:textId="74D23A05" w:rsidR="000B7395" w:rsidRPr="00AC2E1F" w:rsidRDefault="00AC2E1F" w:rsidP="00F1757D">
      <w:pPr>
        <w:jc w:val="both"/>
        <w:rPr>
          <w:rFonts w:ascii="Arial" w:hAnsi="Arial" w:cs="Arial"/>
          <w:sz w:val="22"/>
          <w:szCs w:val="24"/>
          <w:lang w:val="en-GB"/>
        </w:rPr>
      </w:pPr>
      <w:r w:rsidRPr="00AC2E1F">
        <w:rPr>
          <w:rFonts w:ascii="Arial" w:hAnsi="Arial" w:cs="Arial"/>
          <w:sz w:val="22"/>
          <w:szCs w:val="24"/>
          <w:lang w:val="en-GB"/>
        </w:rPr>
        <w:t>Metric remains</w:t>
      </w:r>
      <w:r w:rsidR="002327F2" w:rsidRPr="00AC2E1F">
        <w:rPr>
          <w:rFonts w:ascii="Arial" w:hAnsi="Arial" w:cs="Arial"/>
          <w:sz w:val="22"/>
          <w:szCs w:val="24"/>
          <w:lang w:val="en-GB"/>
        </w:rPr>
        <w:t xml:space="preserve"> largely unchanged from </w:t>
      </w:r>
      <w:r w:rsidRPr="00AC2E1F">
        <w:rPr>
          <w:rFonts w:ascii="Arial" w:hAnsi="Arial" w:cs="Arial"/>
          <w:sz w:val="22"/>
          <w:szCs w:val="24"/>
          <w:lang w:val="en-GB"/>
        </w:rPr>
        <w:t>prior</w:t>
      </w:r>
      <w:r w:rsidR="002327F2" w:rsidRPr="00AC2E1F">
        <w:rPr>
          <w:rFonts w:ascii="Arial" w:hAnsi="Arial" w:cs="Arial"/>
          <w:sz w:val="22"/>
          <w:szCs w:val="24"/>
          <w:lang w:val="en-GB"/>
        </w:rPr>
        <w:t xml:space="preserve"> year</w:t>
      </w:r>
      <w:r w:rsidRPr="00AC2E1F">
        <w:rPr>
          <w:rFonts w:ascii="Arial" w:hAnsi="Arial" w:cs="Arial"/>
          <w:sz w:val="22"/>
          <w:szCs w:val="24"/>
          <w:lang w:val="en-GB"/>
        </w:rPr>
        <w:t xml:space="preserve"> and flat over </w:t>
      </w:r>
      <w:r>
        <w:rPr>
          <w:rFonts w:ascii="Arial" w:hAnsi="Arial" w:cs="Arial"/>
          <w:sz w:val="22"/>
          <w:szCs w:val="24"/>
          <w:lang w:val="en-GB"/>
        </w:rPr>
        <w:t xml:space="preserve">full </w:t>
      </w:r>
      <w:r w:rsidRPr="00AC2E1F">
        <w:rPr>
          <w:rFonts w:ascii="Arial" w:hAnsi="Arial" w:cs="Arial"/>
          <w:sz w:val="22"/>
          <w:szCs w:val="24"/>
          <w:lang w:val="en-GB"/>
        </w:rPr>
        <w:t>reporting period.</w:t>
      </w:r>
    </w:p>
    <w:p w14:paraId="3A1620D7" w14:textId="77777777" w:rsidR="009224C2" w:rsidRDefault="009224C2" w:rsidP="00F1757D">
      <w:pPr>
        <w:jc w:val="both"/>
        <w:rPr>
          <w:rFonts w:ascii="Arial" w:hAnsi="Arial" w:cs="Arial"/>
          <w:sz w:val="22"/>
          <w:szCs w:val="24"/>
          <w:highlight w:val="yellow"/>
          <w:lang w:val="en-GB"/>
        </w:rPr>
      </w:pPr>
    </w:p>
    <w:p w14:paraId="7D7F924A" w14:textId="6521D966" w:rsidR="009224C2" w:rsidRPr="00BE3619" w:rsidRDefault="009224C2" w:rsidP="00F1757D">
      <w:pPr>
        <w:jc w:val="both"/>
        <w:rPr>
          <w:rFonts w:ascii="Arial" w:hAnsi="Arial" w:cs="Arial"/>
          <w:sz w:val="22"/>
          <w:szCs w:val="24"/>
          <w:lang w:val="en-GB"/>
        </w:rPr>
      </w:pPr>
      <w:r w:rsidRPr="00BE3619">
        <w:rPr>
          <w:rFonts w:ascii="Arial" w:hAnsi="Arial" w:cs="Arial"/>
          <w:sz w:val="22"/>
          <w:szCs w:val="24"/>
          <w:lang w:val="en-GB"/>
        </w:rPr>
        <w:t xml:space="preserve">Sample Size: </w:t>
      </w:r>
      <w:r w:rsidR="008478BE">
        <w:rPr>
          <w:rFonts w:ascii="Arial" w:hAnsi="Arial" w:cs="Arial"/>
          <w:sz w:val="22"/>
          <w:szCs w:val="24"/>
          <w:lang w:val="en-GB"/>
        </w:rPr>
        <w:t>31-40</w:t>
      </w:r>
    </w:p>
    <w:p w14:paraId="6064434C" w14:textId="77777777" w:rsidR="009A3263" w:rsidRPr="008947FB" w:rsidRDefault="009A3263" w:rsidP="005C10BB">
      <w:pPr>
        <w:jc w:val="both"/>
        <w:rPr>
          <w:rFonts w:ascii="Arial" w:hAnsi="Arial"/>
          <w:b/>
          <w:sz w:val="22"/>
          <w:szCs w:val="22"/>
          <w:highlight w:val="yellow"/>
          <w:lang w:val="en-GB"/>
        </w:rPr>
      </w:pPr>
    </w:p>
    <w:p w14:paraId="61DC4BD9" w14:textId="03C97C00" w:rsidR="005C10BB" w:rsidRDefault="005C10BB" w:rsidP="005C10BB">
      <w:pPr>
        <w:jc w:val="both"/>
        <w:rPr>
          <w:rFonts w:ascii="Arial" w:hAnsi="Arial"/>
          <w:b/>
          <w:sz w:val="22"/>
          <w:szCs w:val="22"/>
          <w:lang w:val="en-GB"/>
        </w:rPr>
      </w:pPr>
      <w:r w:rsidRPr="009D4C9C">
        <w:rPr>
          <w:rFonts w:ascii="Arial" w:hAnsi="Arial"/>
          <w:b/>
          <w:sz w:val="22"/>
          <w:szCs w:val="22"/>
          <w:lang w:val="en-GB"/>
        </w:rPr>
        <w:t xml:space="preserve">Figure </w:t>
      </w:r>
      <w:r w:rsidR="003D271A" w:rsidRPr="009D4C9C">
        <w:rPr>
          <w:rFonts w:ascii="Arial" w:hAnsi="Arial"/>
          <w:b/>
          <w:sz w:val="22"/>
          <w:szCs w:val="22"/>
          <w:lang w:val="en-GB"/>
        </w:rPr>
        <w:t>1</w:t>
      </w:r>
      <w:r w:rsidR="00F37312">
        <w:rPr>
          <w:rFonts w:ascii="Arial" w:hAnsi="Arial"/>
          <w:b/>
          <w:sz w:val="22"/>
          <w:szCs w:val="22"/>
          <w:lang w:val="en-GB"/>
        </w:rPr>
        <w:t>1</w:t>
      </w:r>
      <w:r w:rsidRPr="009D4C9C">
        <w:rPr>
          <w:rFonts w:ascii="Arial" w:hAnsi="Arial"/>
          <w:b/>
          <w:sz w:val="22"/>
          <w:szCs w:val="22"/>
          <w:lang w:val="en-GB"/>
        </w:rPr>
        <w:t>: Platform well decommissioning cost distribution using jack</w:t>
      </w:r>
      <w:r w:rsidR="00F54CCB" w:rsidRPr="009D4C9C">
        <w:rPr>
          <w:rFonts w:ascii="Arial" w:hAnsi="Arial"/>
          <w:b/>
          <w:sz w:val="22"/>
          <w:szCs w:val="22"/>
          <w:lang w:val="en-GB"/>
        </w:rPr>
        <w:t>-</w:t>
      </w:r>
      <w:r w:rsidRPr="009D4C9C">
        <w:rPr>
          <w:rFonts w:ascii="Arial" w:hAnsi="Arial"/>
          <w:b/>
          <w:sz w:val="22"/>
          <w:szCs w:val="22"/>
          <w:lang w:val="en-GB"/>
        </w:rPr>
        <w:t>up rigs: NNS &amp; CNS</w:t>
      </w:r>
    </w:p>
    <w:p w14:paraId="5B56C0E3" w14:textId="77777777" w:rsidR="005C10BB" w:rsidRPr="009E0CFB" w:rsidRDefault="005C10BB" w:rsidP="005C10BB">
      <w:pPr>
        <w:jc w:val="both"/>
        <w:rPr>
          <w:rFonts w:ascii="Arial" w:hAnsi="Arial"/>
          <w:b/>
          <w:sz w:val="22"/>
          <w:szCs w:val="22"/>
          <w:lang w:val="en-GB"/>
        </w:rPr>
      </w:pPr>
    </w:p>
    <w:p w14:paraId="2A32A460" w14:textId="7350FF3E" w:rsidR="005C10BB" w:rsidRPr="009E0CFB" w:rsidRDefault="00C546A2" w:rsidP="00C546A2">
      <w:pPr>
        <w:jc w:val="both"/>
        <w:rPr>
          <w:rFonts w:ascii="Arial" w:hAnsi="Arial" w:cs="Arial"/>
          <w:sz w:val="22"/>
          <w:szCs w:val="22"/>
          <w:lang w:val="en-GB"/>
        </w:rPr>
      </w:pPr>
      <w:r>
        <w:rPr>
          <w:rFonts w:ascii="Arial" w:hAnsi="Arial" w:cs="Arial"/>
          <w:noProof/>
          <w:sz w:val="22"/>
          <w:szCs w:val="22"/>
          <w:lang w:val="en-GB"/>
        </w:rPr>
        <w:drawing>
          <wp:inline distT="0" distB="0" distL="0" distR="0" wp14:anchorId="5078C9BD" wp14:editId="44EC016E">
            <wp:extent cx="3941445" cy="2210735"/>
            <wp:effectExtent l="0" t="0" r="190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0348" cy="2215729"/>
                    </a:xfrm>
                    <a:prstGeom prst="rect">
                      <a:avLst/>
                    </a:prstGeom>
                    <a:noFill/>
                  </pic:spPr>
                </pic:pic>
              </a:graphicData>
            </a:graphic>
          </wp:inline>
        </w:drawing>
      </w:r>
      <w:r w:rsidR="00C85064" w:rsidRPr="00C85064">
        <w:rPr>
          <w:noProof/>
        </w:rPr>
        <w:drawing>
          <wp:inline distT="0" distB="0" distL="0" distR="0" wp14:anchorId="3D1E3AB5" wp14:editId="5D6B2AAC">
            <wp:extent cx="1277620" cy="638810"/>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7620" cy="638810"/>
                    </a:xfrm>
                    <a:prstGeom prst="rect">
                      <a:avLst/>
                    </a:prstGeom>
                    <a:noFill/>
                    <a:ln>
                      <a:noFill/>
                    </a:ln>
                  </pic:spPr>
                </pic:pic>
              </a:graphicData>
            </a:graphic>
          </wp:inline>
        </w:drawing>
      </w:r>
    </w:p>
    <w:p w14:paraId="73D8BD88" w14:textId="453B99E5" w:rsidR="005C10BB" w:rsidRPr="009E0CFB" w:rsidRDefault="000E3A71" w:rsidP="005C10BB">
      <w:pPr>
        <w:jc w:val="both"/>
        <w:rPr>
          <w:rFonts w:ascii="Arial" w:hAnsi="Arial" w:cs="Arial"/>
          <w:sz w:val="22"/>
          <w:szCs w:val="24"/>
          <w:lang w:val="en-GB"/>
        </w:rPr>
      </w:pPr>
      <w:r w:rsidRPr="000E3A71">
        <w:rPr>
          <w:rFonts w:ascii="Arial" w:hAnsi="Arial" w:cs="Arial"/>
          <w:sz w:val="22"/>
          <w:szCs w:val="24"/>
          <w:lang w:val="en-GB"/>
        </w:rPr>
        <w:t xml:space="preserve"> </w:t>
      </w:r>
    </w:p>
    <w:p w14:paraId="3B91C26B" w14:textId="5505578C" w:rsidR="005C10BB" w:rsidRDefault="005C10BB" w:rsidP="00D27BBA">
      <w:pPr>
        <w:jc w:val="both"/>
        <w:rPr>
          <w:rFonts w:ascii="Arial" w:hAnsi="Arial" w:cs="Arial"/>
          <w:color w:val="CC00FF"/>
          <w:sz w:val="22"/>
          <w:szCs w:val="24"/>
          <w:lang w:val="en-GB"/>
        </w:rPr>
      </w:pPr>
    </w:p>
    <w:p w14:paraId="48FC8919" w14:textId="1B246BDC" w:rsidR="002D52AA" w:rsidRDefault="002D52AA" w:rsidP="00D27BBA">
      <w:pPr>
        <w:jc w:val="both"/>
        <w:rPr>
          <w:rFonts w:ascii="Arial" w:hAnsi="Arial" w:cs="Arial"/>
          <w:color w:val="CC00FF"/>
          <w:sz w:val="22"/>
          <w:szCs w:val="24"/>
          <w:lang w:val="en-GB"/>
        </w:rPr>
      </w:pPr>
    </w:p>
    <w:p w14:paraId="1692D112" w14:textId="41DE3F5B" w:rsidR="00ED40C1" w:rsidRDefault="00577B42" w:rsidP="00ED40C1">
      <w:pPr>
        <w:rPr>
          <w:rFonts w:ascii="Arial" w:hAnsi="Arial"/>
          <w:b/>
          <w:sz w:val="22"/>
          <w:szCs w:val="22"/>
          <w:lang w:val="en-GB"/>
        </w:rPr>
      </w:pPr>
      <w:r w:rsidRPr="00577B42">
        <w:rPr>
          <w:rFonts w:ascii="Arial" w:hAnsi="Arial"/>
          <w:b/>
          <w:noProof/>
          <w:sz w:val="22"/>
          <w:szCs w:val="22"/>
          <w:lang w:val="en-GB"/>
        </w:rPr>
        <w:drawing>
          <wp:inline distT="0" distB="0" distL="0" distR="0" wp14:anchorId="06314D78" wp14:editId="7BB3A455">
            <wp:extent cx="4853354" cy="2978584"/>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65314" cy="2985924"/>
                    </a:xfrm>
                    <a:prstGeom prst="rect">
                      <a:avLst/>
                    </a:prstGeom>
                  </pic:spPr>
                </pic:pic>
              </a:graphicData>
            </a:graphic>
          </wp:inline>
        </w:drawing>
      </w:r>
    </w:p>
    <w:p w14:paraId="490887D6" w14:textId="77777777" w:rsidR="00ED40C1" w:rsidRDefault="00ED40C1" w:rsidP="00ED40C1">
      <w:pPr>
        <w:rPr>
          <w:rFonts w:ascii="Arial" w:hAnsi="Arial"/>
          <w:b/>
          <w:sz w:val="22"/>
          <w:szCs w:val="22"/>
          <w:lang w:val="en-GB"/>
        </w:rPr>
      </w:pPr>
    </w:p>
    <w:p w14:paraId="00E76CFD" w14:textId="77777777" w:rsidR="00DB25E2" w:rsidRPr="00DB25E2" w:rsidRDefault="00DB25E2" w:rsidP="00DB25E2">
      <w:pPr>
        <w:rPr>
          <w:rFonts w:ascii="Arial" w:hAnsi="Arial"/>
          <w:b/>
          <w:sz w:val="22"/>
          <w:szCs w:val="22"/>
          <w:lang w:val="en-GB"/>
        </w:rPr>
      </w:pPr>
    </w:p>
    <w:p w14:paraId="5E27CBF3" w14:textId="77777777" w:rsidR="00031FEE" w:rsidRPr="00031FEE" w:rsidRDefault="00031FEE" w:rsidP="00031FEE">
      <w:pPr>
        <w:rPr>
          <w:rFonts w:ascii="Arial" w:hAnsi="Arial"/>
          <w:b/>
          <w:sz w:val="22"/>
          <w:szCs w:val="22"/>
          <w:lang w:val="en-GB"/>
        </w:rPr>
      </w:pPr>
    </w:p>
    <w:p w14:paraId="588630D6" w14:textId="77777777" w:rsidR="00C85064" w:rsidRDefault="00C85064" w:rsidP="00ED40C1">
      <w:pPr>
        <w:rPr>
          <w:rFonts w:ascii="Arial" w:hAnsi="Arial"/>
          <w:b/>
          <w:sz w:val="22"/>
          <w:szCs w:val="22"/>
          <w:lang w:val="en-GB"/>
        </w:rPr>
      </w:pPr>
    </w:p>
    <w:p w14:paraId="0AD135E5" w14:textId="77777777" w:rsidR="00C85064" w:rsidRDefault="00C85064" w:rsidP="00ED40C1">
      <w:pPr>
        <w:rPr>
          <w:rFonts w:ascii="Arial" w:hAnsi="Arial"/>
          <w:b/>
          <w:sz w:val="22"/>
          <w:szCs w:val="22"/>
          <w:lang w:val="en-GB"/>
        </w:rPr>
      </w:pPr>
    </w:p>
    <w:p w14:paraId="75054DF8" w14:textId="77777777" w:rsidR="00C85064" w:rsidRDefault="00C85064" w:rsidP="00ED40C1">
      <w:pPr>
        <w:rPr>
          <w:rFonts w:ascii="Arial" w:hAnsi="Arial"/>
          <w:b/>
          <w:sz w:val="22"/>
          <w:szCs w:val="22"/>
          <w:lang w:val="en-GB"/>
        </w:rPr>
      </w:pPr>
    </w:p>
    <w:p w14:paraId="6E814F71" w14:textId="77777777" w:rsidR="00577B42" w:rsidRDefault="00577B42" w:rsidP="00ED40C1">
      <w:pPr>
        <w:rPr>
          <w:rFonts w:ascii="Arial" w:hAnsi="Arial"/>
          <w:b/>
          <w:sz w:val="22"/>
          <w:szCs w:val="22"/>
          <w:lang w:val="en-GB"/>
        </w:rPr>
      </w:pPr>
    </w:p>
    <w:p w14:paraId="04660BF1" w14:textId="77777777" w:rsidR="00ED40C1" w:rsidRDefault="00ED40C1" w:rsidP="00ED40C1">
      <w:pPr>
        <w:rPr>
          <w:rFonts w:ascii="Arial" w:hAnsi="Arial"/>
          <w:b/>
          <w:sz w:val="22"/>
          <w:szCs w:val="22"/>
          <w:lang w:val="en-GB"/>
        </w:rPr>
      </w:pPr>
    </w:p>
    <w:p w14:paraId="2A606FF0" w14:textId="0DA169D7" w:rsidR="003A765B" w:rsidRPr="00ED40C1" w:rsidRDefault="003A765B" w:rsidP="00ED40C1">
      <w:pPr>
        <w:rPr>
          <w:rFonts w:ascii="Arial" w:hAnsi="Arial"/>
          <w:b/>
          <w:sz w:val="22"/>
          <w:szCs w:val="22"/>
          <w:lang w:val="en-GB"/>
        </w:rPr>
      </w:pPr>
      <w:r>
        <w:rPr>
          <w:rFonts w:ascii="Arial" w:hAnsi="Arial" w:cs="Arial"/>
          <w:b/>
          <w:sz w:val="22"/>
          <w:szCs w:val="24"/>
          <w:u w:val="single"/>
          <w:lang w:val="en-GB"/>
        </w:rPr>
        <w:t xml:space="preserve">Platform rig reactivation costs: </w:t>
      </w:r>
      <w:r w:rsidRPr="00C40698">
        <w:rPr>
          <w:rFonts w:ascii="Arial" w:hAnsi="Arial" w:cs="Arial"/>
          <w:b/>
          <w:sz w:val="22"/>
          <w:szCs w:val="24"/>
          <w:u w:val="single"/>
          <w:lang w:val="en-GB"/>
        </w:rPr>
        <w:t>NNS &amp; CNS</w:t>
      </w:r>
    </w:p>
    <w:p w14:paraId="50B30887" w14:textId="77777777" w:rsidR="003A765B" w:rsidRDefault="003A765B" w:rsidP="003A765B">
      <w:pPr>
        <w:jc w:val="both"/>
        <w:rPr>
          <w:rFonts w:ascii="Arial" w:hAnsi="Arial" w:cs="Arial"/>
          <w:sz w:val="22"/>
          <w:szCs w:val="24"/>
          <w:lang w:val="en-GB"/>
        </w:rPr>
      </w:pPr>
    </w:p>
    <w:p w14:paraId="4567C290" w14:textId="78FF37E7" w:rsidR="00F97D55" w:rsidRPr="00F97D55" w:rsidRDefault="00DE7956" w:rsidP="00F97D55">
      <w:pPr>
        <w:jc w:val="both"/>
        <w:rPr>
          <w:rFonts w:ascii="Arial" w:hAnsi="Arial" w:cs="Arial"/>
          <w:sz w:val="22"/>
          <w:szCs w:val="24"/>
          <w:lang w:val="en-GB"/>
        </w:rPr>
      </w:pPr>
      <w:r>
        <w:rPr>
          <w:rFonts w:ascii="Arial" w:hAnsi="Arial" w:cs="Arial"/>
          <w:sz w:val="22"/>
          <w:szCs w:val="24"/>
          <w:lang w:val="en-GB"/>
        </w:rPr>
        <w:t>Range of c</w:t>
      </w:r>
      <w:r w:rsidR="00AD3CE7">
        <w:rPr>
          <w:rFonts w:ascii="Arial" w:hAnsi="Arial" w:cs="Arial"/>
          <w:sz w:val="22"/>
          <w:szCs w:val="24"/>
          <w:lang w:val="en-GB"/>
        </w:rPr>
        <w:t xml:space="preserve">ost </w:t>
      </w:r>
      <w:r w:rsidR="006B3495">
        <w:rPr>
          <w:rFonts w:ascii="Arial" w:hAnsi="Arial" w:cs="Arial"/>
          <w:sz w:val="22"/>
          <w:szCs w:val="24"/>
          <w:lang w:val="en-GB"/>
        </w:rPr>
        <w:t xml:space="preserve">performance </w:t>
      </w:r>
      <w:r w:rsidR="002C281B">
        <w:rPr>
          <w:rFonts w:ascii="Arial" w:hAnsi="Arial" w:cs="Arial"/>
          <w:sz w:val="22"/>
          <w:szCs w:val="24"/>
          <w:lang w:val="en-GB"/>
        </w:rPr>
        <w:t xml:space="preserve">influenced </w:t>
      </w:r>
      <w:r w:rsidR="0000175C">
        <w:rPr>
          <w:rFonts w:ascii="Arial" w:hAnsi="Arial" w:cs="Arial"/>
          <w:sz w:val="22"/>
          <w:szCs w:val="24"/>
          <w:lang w:val="en-GB"/>
        </w:rPr>
        <w:t xml:space="preserve">by </w:t>
      </w:r>
      <w:r w:rsidR="003124A9">
        <w:rPr>
          <w:rFonts w:ascii="Arial" w:hAnsi="Arial" w:cs="Arial"/>
          <w:sz w:val="22"/>
          <w:szCs w:val="24"/>
          <w:lang w:val="en-GB"/>
        </w:rPr>
        <w:t>a range of factors</w:t>
      </w:r>
      <w:r w:rsidR="00D1407E">
        <w:rPr>
          <w:rFonts w:ascii="Arial" w:hAnsi="Arial" w:cs="Arial"/>
          <w:sz w:val="22"/>
          <w:szCs w:val="24"/>
          <w:lang w:val="en-GB"/>
        </w:rPr>
        <w:t>,</w:t>
      </w:r>
      <w:r w:rsidR="003124A9">
        <w:rPr>
          <w:rFonts w:ascii="Arial" w:hAnsi="Arial" w:cs="Arial"/>
          <w:sz w:val="22"/>
          <w:szCs w:val="24"/>
          <w:lang w:val="en-GB"/>
        </w:rPr>
        <w:t xml:space="preserve"> including </w:t>
      </w:r>
      <w:r w:rsidR="0000175C">
        <w:rPr>
          <w:rFonts w:ascii="Arial" w:hAnsi="Arial" w:cs="Arial"/>
          <w:sz w:val="22"/>
          <w:szCs w:val="24"/>
          <w:lang w:val="en-GB"/>
        </w:rPr>
        <w:t xml:space="preserve">direct </w:t>
      </w:r>
      <w:r w:rsidR="003B611D">
        <w:rPr>
          <w:rFonts w:ascii="Arial" w:hAnsi="Arial" w:cs="Arial"/>
          <w:sz w:val="22"/>
          <w:szCs w:val="24"/>
          <w:lang w:val="en-GB"/>
        </w:rPr>
        <w:t xml:space="preserve">rig </w:t>
      </w:r>
      <w:r w:rsidR="00C562BE">
        <w:rPr>
          <w:rFonts w:ascii="Arial" w:hAnsi="Arial" w:cs="Arial"/>
          <w:sz w:val="22"/>
          <w:szCs w:val="24"/>
          <w:lang w:val="en-GB"/>
        </w:rPr>
        <w:t>scope (</w:t>
      </w:r>
      <w:proofErr w:type="spellStart"/>
      <w:r w:rsidR="00C562BE">
        <w:rPr>
          <w:rFonts w:ascii="Arial" w:hAnsi="Arial" w:cs="Arial"/>
          <w:sz w:val="22"/>
          <w:szCs w:val="24"/>
          <w:lang w:val="en-GB"/>
        </w:rPr>
        <w:t>e.g</w:t>
      </w:r>
      <w:proofErr w:type="spellEnd"/>
      <w:r w:rsidR="003B611D">
        <w:rPr>
          <w:rFonts w:ascii="Arial" w:hAnsi="Arial" w:cs="Arial"/>
          <w:sz w:val="22"/>
          <w:szCs w:val="24"/>
          <w:lang w:val="en-GB"/>
        </w:rPr>
        <w:t xml:space="preserve"> </w:t>
      </w:r>
      <w:r w:rsidR="00C562BE">
        <w:rPr>
          <w:rFonts w:ascii="Arial" w:hAnsi="Arial" w:cs="Arial"/>
          <w:sz w:val="22"/>
          <w:szCs w:val="24"/>
          <w:lang w:val="en-GB"/>
        </w:rPr>
        <w:t>rig condit</w:t>
      </w:r>
      <w:r w:rsidR="00CE43CC">
        <w:rPr>
          <w:rFonts w:ascii="Arial" w:hAnsi="Arial" w:cs="Arial"/>
          <w:sz w:val="22"/>
          <w:szCs w:val="24"/>
          <w:lang w:val="en-GB"/>
        </w:rPr>
        <w:t xml:space="preserve">ion and time within cold stack) </w:t>
      </w:r>
      <w:r w:rsidR="0000175C">
        <w:rPr>
          <w:rFonts w:ascii="Arial" w:hAnsi="Arial" w:cs="Arial"/>
          <w:sz w:val="22"/>
          <w:szCs w:val="24"/>
          <w:lang w:val="en-GB"/>
        </w:rPr>
        <w:t>and indirect</w:t>
      </w:r>
      <w:r w:rsidR="008D203B">
        <w:rPr>
          <w:rFonts w:ascii="Arial" w:hAnsi="Arial" w:cs="Arial"/>
          <w:sz w:val="22"/>
          <w:szCs w:val="24"/>
          <w:lang w:val="en-GB"/>
        </w:rPr>
        <w:t xml:space="preserve"> </w:t>
      </w:r>
      <w:r w:rsidR="00534C9E">
        <w:rPr>
          <w:rFonts w:ascii="Arial" w:hAnsi="Arial" w:cs="Arial"/>
          <w:sz w:val="22"/>
          <w:szCs w:val="24"/>
          <w:lang w:val="en-GB"/>
        </w:rPr>
        <w:t xml:space="preserve">platform </w:t>
      </w:r>
      <w:r w:rsidR="008D203B">
        <w:rPr>
          <w:rFonts w:ascii="Arial" w:hAnsi="Arial" w:cs="Arial"/>
          <w:sz w:val="22"/>
          <w:szCs w:val="24"/>
          <w:lang w:val="en-GB"/>
        </w:rPr>
        <w:t>scope</w:t>
      </w:r>
      <w:r w:rsidR="00A52001">
        <w:rPr>
          <w:rFonts w:ascii="Arial" w:hAnsi="Arial" w:cs="Arial"/>
          <w:sz w:val="22"/>
          <w:szCs w:val="24"/>
          <w:lang w:val="en-GB"/>
        </w:rPr>
        <w:t xml:space="preserve"> </w:t>
      </w:r>
      <w:r w:rsidR="003B611D">
        <w:rPr>
          <w:rFonts w:ascii="Arial" w:hAnsi="Arial" w:cs="Arial"/>
          <w:sz w:val="22"/>
          <w:szCs w:val="24"/>
          <w:lang w:val="en-GB"/>
        </w:rPr>
        <w:t>(</w:t>
      </w:r>
      <w:proofErr w:type="gramStart"/>
      <w:r w:rsidR="003B611D">
        <w:rPr>
          <w:rFonts w:ascii="Arial" w:hAnsi="Arial" w:cs="Arial"/>
          <w:sz w:val="22"/>
          <w:szCs w:val="24"/>
          <w:lang w:val="en-GB"/>
        </w:rPr>
        <w:t>e.g.</w:t>
      </w:r>
      <w:proofErr w:type="gramEnd"/>
      <w:r w:rsidR="003B611D">
        <w:rPr>
          <w:rFonts w:ascii="Arial" w:hAnsi="Arial" w:cs="Arial"/>
          <w:sz w:val="22"/>
          <w:szCs w:val="24"/>
          <w:lang w:val="en-GB"/>
        </w:rPr>
        <w:t xml:space="preserve"> ancillary/supporting services)</w:t>
      </w:r>
      <w:r w:rsidR="00871C56">
        <w:rPr>
          <w:rFonts w:ascii="Arial" w:hAnsi="Arial" w:cs="Arial"/>
          <w:sz w:val="22"/>
          <w:szCs w:val="24"/>
          <w:lang w:val="en-GB"/>
        </w:rPr>
        <w:t>.</w:t>
      </w:r>
    </w:p>
    <w:p w14:paraId="027FA278" w14:textId="3BF8BAF7" w:rsidR="00BE3619" w:rsidRDefault="00BE3619" w:rsidP="003A765B">
      <w:pPr>
        <w:jc w:val="both"/>
        <w:rPr>
          <w:rFonts w:ascii="Arial" w:hAnsi="Arial" w:cs="Arial"/>
          <w:sz w:val="22"/>
          <w:szCs w:val="24"/>
          <w:lang w:val="en-GB"/>
        </w:rPr>
      </w:pPr>
    </w:p>
    <w:p w14:paraId="472C458B" w14:textId="71BE857B" w:rsidR="00BE3619" w:rsidRDefault="00BE3619" w:rsidP="003A765B">
      <w:pPr>
        <w:jc w:val="both"/>
        <w:rPr>
          <w:rFonts w:ascii="Arial" w:hAnsi="Arial" w:cs="Arial"/>
          <w:sz w:val="22"/>
          <w:szCs w:val="24"/>
          <w:lang w:val="en-GB"/>
        </w:rPr>
      </w:pPr>
      <w:r>
        <w:rPr>
          <w:rFonts w:ascii="Arial" w:hAnsi="Arial" w:cs="Arial"/>
          <w:sz w:val="22"/>
          <w:szCs w:val="24"/>
          <w:lang w:val="en-GB"/>
        </w:rPr>
        <w:t xml:space="preserve">Sample Size: </w:t>
      </w:r>
      <w:r w:rsidR="00F40CC8" w:rsidRPr="00F40CC8">
        <w:rPr>
          <w:rFonts w:ascii="Arial" w:hAnsi="Arial" w:cs="Arial"/>
          <w:sz w:val="22"/>
          <w:szCs w:val="24"/>
          <w:lang w:val="en-GB"/>
        </w:rPr>
        <w:t>5-10</w:t>
      </w:r>
    </w:p>
    <w:p w14:paraId="6A466A14" w14:textId="77777777" w:rsidR="003A765B" w:rsidRDefault="003A765B" w:rsidP="002D52AA">
      <w:pPr>
        <w:jc w:val="both"/>
        <w:rPr>
          <w:rFonts w:ascii="Arial" w:hAnsi="Arial"/>
          <w:b/>
          <w:sz w:val="22"/>
          <w:szCs w:val="22"/>
          <w:lang w:val="en-GB"/>
        </w:rPr>
      </w:pPr>
    </w:p>
    <w:p w14:paraId="4CF676D5" w14:textId="113A23E8" w:rsidR="002D52AA" w:rsidRDefault="002D52AA" w:rsidP="002D52AA">
      <w:pPr>
        <w:jc w:val="both"/>
        <w:rPr>
          <w:rFonts w:ascii="Arial" w:hAnsi="Arial"/>
          <w:b/>
          <w:sz w:val="22"/>
          <w:szCs w:val="22"/>
          <w:lang w:val="en-GB"/>
        </w:rPr>
      </w:pPr>
      <w:r w:rsidRPr="009E0CFB">
        <w:rPr>
          <w:rFonts w:ascii="Arial" w:hAnsi="Arial"/>
          <w:b/>
          <w:sz w:val="22"/>
          <w:szCs w:val="22"/>
          <w:lang w:val="en-GB"/>
        </w:rPr>
        <w:t xml:space="preserve">Figure </w:t>
      </w:r>
      <w:r w:rsidR="003D271A">
        <w:rPr>
          <w:rFonts w:ascii="Arial" w:hAnsi="Arial"/>
          <w:b/>
          <w:sz w:val="22"/>
          <w:szCs w:val="22"/>
          <w:lang w:val="en-GB"/>
        </w:rPr>
        <w:t>1</w:t>
      </w:r>
      <w:r w:rsidR="00F37312">
        <w:rPr>
          <w:rFonts w:ascii="Arial" w:hAnsi="Arial"/>
          <w:b/>
          <w:sz w:val="22"/>
          <w:szCs w:val="22"/>
          <w:lang w:val="en-GB"/>
        </w:rPr>
        <w:t>2</w:t>
      </w:r>
      <w:r w:rsidRPr="009E0CFB">
        <w:rPr>
          <w:rFonts w:ascii="Arial" w:hAnsi="Arial"/>
          <w:b/>
          <w:sz w:val="22"/>
          <w:szCs w:val="22"/>
          <w:lang w:val="en-GB"/>
        </w:rPr>
        <w:t xml:space="preserve">: Platform </w:t>
      </w:r>
      <w:r>
        <w:rPr>
          <w:rFonts w:ascii="Arial" w:hAnsi="Arial"/>
          <w:b/>
          <w:sz w:val="22"/>
          <w:szCs w:val="22"/>
          <w:lang w:val="en-GB"/>
        </w:rPr>
        <w:t>rig reactivation</w:t>
      </w:r>
      <w:r w:rsidRPr="009E0CFB">
        <w:rPr>
          <w:rFonts w:ascii="Arial" w:hAnsi="Arial"/>
          <w:b/>
          <w:sz w:val="22"/>
          <w:szCs w:val="22"/>
          <w:lang w:val="en-GB"/>
        </w:rPr>
        <w:t xml:space="preserve"> </w:t>
      </w:r>
      <w:r>
        <w:rPr>
          <w:rFonts w:ascii="Arial" w:hAnsi="Arial"/>
          <w:b/>
          <w:sz w:val="22"/>
          <w:szCs w:val="22"/>
          <w:lang w:val="en-GB"/>
        </w:rPr>
        <w:t>c</w:t>
      </w:r>
      <w:r w:rsidRPr="009E0CFB">
        <w:rPr>
          <w:rFonts w:ascii="Arial" w:hAnsi="Arial"/>
          <w:b/>
          <w:sz w:val="22"/>
          <w:szCs w:val="22"/>
          <w:lang w:val="en-GB"/>
        </w:rPr>
        <w:t>ost distribution NNS &amp; CNS</w:t>
      </w:r>
    </w:p>
    <w:p w14:paraId="2639B6ED" w14:textId="642BFE90" w:rsidR="002D52AA" w:rsidRPr="009E0CFB" w:rsidRDefault="00CD1574" w:rsidP="002D52AA">
      <w:pPr>
        <w:jc w:val="both"/>
        <w:rPr>
          <w:rFonts w:ascii="Arial" w:hAnsi="Arial"/>
          <w:b/>
          <w:sz w:val="22"/>
          <w:szCs w:val="22"/>
          <w:lang w:val="en-GB"/>
        </w:rPr>
      </w:pPr>
      <w:r>
        <w:rPr>
          <w:rFonts w:ascii="Arial" w:hAnsi="Arial"/>
          <w:b/>
          <w:noProof/>
          <w:sz w:val="22"/>
          <w:szCs w:val="22"/>
          <w:lang w:val="en-GB"/>
        </w:rPr>
        <w:drawing>
          <wp:inline distT="0" distB="0" distL="0" distR="0" wp14:anchorId="0428E101" wp14:editId="0E009391">
            <wp:extent cx="4578902" cy="2529047"/>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2754" cy="2536698"/>
                    </a:xfrm>
                    <a:prstGeom prst="rect">
                      <a:avLst/>
                    </a:prstGeom>
                    <a:noFill/>
                  </pic:spPr>
                </pic:pic>
              </a:graphicData>
            </a:graphic>
          </wp:inline>
        </w:drawing>
      </w:r>
      <w:r w:rsidRPr="007F455B">
        <w:rPr>
          <w:noProof/>
        </w:rPr>
        <w:drawing>
          <wp:inline distT="0" distB="0" distL="0" distR="0" wp14:anchorId="06D1CB29" wp14:editId="396B8623">
            <wp:extent cx="1280160" cy="647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0160" cy="647700"/>
                    </a:xfrm>
                    <a:prstGeom prst="rect">
                      <a:avLst/>
                    </a:prstGeom>
                    <a:noFill/>
                    <a:ln>
                      <a:noFill/>
                    </a:ln>
                  </pic:spPr>
                </pic:pic>
              </a:graphicData>
            </a:graphic>
          </wp:inline>
        </w:drawing>
      </w:r>
    </w:p>
    <w:p w14:paraId="0F2B6B02" w14:textId="23EE8B45" w:rsidR="002D52AA" w:rsidRPr="009E0CFB" w:rsidRDefault="002D52AA" w:rsidP="002D52AA">
      <w:pPr>
        <w:ind w:firstLine="1701"/>
        <w:jc w:val="both"/>
        <w:rPr>
          <w:rFonts w:ascii="Arial" w:hAnsi="Arial" w:cs="Arial"/>
          <w:sz w:val="22"/>
          <w:szCs w:val="22"/>
          <w:lang w:val="en-GB"/>
        </w:rPr>
      </w:pPr>
    </w:p>
    <w:p w14:paraId="275F9106" w14:textId="0B3AA258" w:rsidR="002D52AA" w:rsidRPr="009E0CFB" w:rsidRDefault="007F455B" w:rsidP="002D52AA">
      <w:pPr>
        <w:jc w:val="both"/>
        <w:rPr>
          <w:rFonts w:ascii="Arial" w:hAnsi="Arial" w:cs="Arial"/>
          <w:sz w:val="22"/>
          <w:szCs w:val="24"/>
          <w:lang w:val="en-GB"/>
        </w:rPr>
      </w:pPr>
      <w:r w:rsidRPr="007F455B">
        <w:rPr>
          <w:rFonts w:ascii="Arial" w:hAnsi="Arial" w:cs="Arial"/>
          <w:sz w:val="22"/>
          <w:szCs w:val="24"/>
          <w:lang w:val="en-GB"/>
        </w:rPr>
        <w:t xml:space="preserve"> </w:t>
      </w:r>
    </w:p>
    <w:p w14:paraId="5F4AA05A" w14:textId="77777777" w:rsidR="002D52AA" w:rsidRPr="009E0CFB" w:rsidRDefault="002D52AA" w:rsidP="00D27BBA">
      <w:pPr>
        <w:jc w:val="both"/>
        <w:rPr>
          <w:rFonts w:ascii="Arial" w:hAnsi="Arial" w:cs="Arial"/>
          <w:color w:val="CC00FF"/>
          <w:sz w:val="22"/>
          <w:szCs w:val="24"/>
          <w:lang w:val="en-GB"/>
        </w:rPr>
      </w:pPr>
    </w:p>
    <w:p w14:paraId="3DF8803B" w14:textId="4A655A46" w:rsidR="00DB6D16" w:rsidRPr="009D54F3" w:rsidRDefault="00F80D36" w:rsidP="00C35845">
      <w:pPr>
        <w:rPr>
          <w:rStyle w:val="Heading1Char"/>
        </w:rPr>
      </w:pPr>
      <w:r w:rsidRPr="00F80D36">
        <w:rPr>
          <w:rFonts w:ascii="Arial" w:hAnsi="Arial"/>
          <w:b/>
          <w:noProof/>
          <w:sz w:val="22"/>
          <w:szCs w:val="22"/>
          <w:lang w:val="en-GB"/>
        </w:rPr>
        <w:drawing>
          <wp:inline distT="0" distB="0" distL="0" distR="0" wp14:anchorId="5407FF5A" wp14:editId="7ECF0D15">
            <wp:extent cx="4925523" cy="3034629"/>
            <wp:effectExtent l="0" t="0" r="889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932725" cy="3039066"/>
                    </a:xfrm>
                    <a:prstGeom prst="rect">
                      <a:avLst/>
                    </a:prstGeom>
                  </pic:spPr>
                </pic:pic>
              </a:graphicData>
            </a:graphic>
          </wp:inline>
        </w:drawing>
      </w:r>
      <w:r w:rsidR="00333E8F">
        <w:rPr>
          <w:rFonts w:ascii="Arial" w:hAnsi="Arial"/>
          <w:b/>
          <w:sz w:val="22"/>
          <w:szCs w:val="22"/>
          <w:lang w:val="en-GB"/>
        </w:rPr>
        <w:br w:type="page"/>
      </w:r>
    </w:p>
    <w:p w14:paraId="14162950" w14:textId="1E7F8DA5" w:rsidR="00CC1AC2" w:rsidRPr="00C35845" w:rsidRDefault="00FD0696" w:rsidP="00C35845">
      <w:pPr>
        <w:rPr>
          <w:rFonts w:ascii="Arial" w:hAnsi="Arial"/>
          <w:b/>
          <w:sz w:val="22"/>
          <w:szCs w:val="22"/>
          <w:lang w:val="en-GB"/>
        </w:rPr>
      </w:pPr>
      <w:r>
        <w:rPr>
          <w:rFonts w:ascii="Arial" w:hAnsi="Arial" w:cs="Arial"/>
          <w:b/>
          <w:sz w:val="22"/>
          <w:szCs w:val="24"/>
          <w:u w:val="single"/>
          <w:lang w:val="en-GB"/>
        </w:rPr>
        <w:t>S</w:t>
      </w:r>
      <w:r w:rsidR="00CC1AC2" w:rsidRPr="00C40698">
        <w:rPr>
          <w:rFonts w:ascii="Arial" w:hAnsi="Arial" w:cs="Arial"/>
          <w:b/>
          <w:sz w:val="22"/>
          <w:szCs w:val="24"/>
          <w:u w:val="single"/>
          <w:lang w:val="en-GB"/>
        </w:rPr>
        <w:t>NS</w:t>
      </w:r>
    </w:p>
    <w:p w14:paraId="313B958A" w14:textId="77777777" w:rsidR="00CC1AC2" w:rsidRDefault="00CC1AC2" w:rsidP="00CC1AC2">
      <w:pPr>
        <w:jc w:val="both"/>
        <w:rPr>
          <w:rFonts w:ascii="Arial" w:hAnsi="Arial" w:cs="Arial"/>
          <w:sz w:val="22"/>
          <w:szCs w:val="24"/>
          <w:lang w:val="en-GB"/>
        </w:rPr>
      </w:pPr>
    </w:p>
    <w:p w14:paraId="5094960F" w14:textId="327C3B8A" w:rsidR="00B93145" w:rsidRDefault="00D86B58" w:rsidP="00C35845">
      <w:pPr>
        <w:rPr>
          <w:rFonts w:ascii="Arial" w:hAnsi="Arial" w:cs="Arial"/>
          <w:sz w:val="22"/>
          <w:lang w:val="en-GB"/>
        </w:rPr>
      </w:pPr>
      <w:r>
        <w:rPr>
          <w:rFonts w:ascii="Arial" w:hAnsi="Arial" w:cs="Arial"/>
          <w:sz w:val="22"/>
          <w:lang w:val="en-GB"/>
        </w:rPr>
        <w:t>M</w:t>
      </w:r>
      <w:r w:rsidR="000B7F7E">
        <w:rPr>
          <w:rFonts w:ascii="Arial" w:hAnsi="Arial" w:cs="Arial"/>
          <w:sz w:val="22"/>
          <w:lang w:val="en-GB"/>
        </w:rPr>
        <w:t>etric reflects an</w:t>
      </w:r>
      <w:r w:rsidR="00A10FB9">
        <w:rPr>
          <w:rFonts w:ascii="Arial" w:hAnsi="Arial" w:cs="Arial"/>
          <w:sz w:val="22"/>
          <w:lang w:val="en-GB"/>
        </w:rPr>
        <w:t xml:space="preserve"> increase in costs</w:t>
      </w:r>
      <w:r w:rsidR="00B93145">
        <w:rPr>
          <w:rFonts w:ascii="Arial" w:hAnsi="Arial" w:cs="Arial"/>
          <w:sz w:val="22"/>
          <w:lang w:val="en-GB"/>
        </w:rPr>
        <w:t>,</w:t>
      </w:r>
      <w:r w:rsidR="00D83378">
        <w:rPr>
          <w:rFonts w:ascii="Arial" w:hAnsi="Arial" w:cs="Arial"/>
          <w:sz w:val="22"/>
          <w:lang w:val="en-GB"/>
        </w:rPr>
        <w:t xml:space="preserve"> </w:t>
      </w:r>
      <w:r w:rsidR="00E47AED">
        <w:rPr>
          <w:rFonts w:ascii="Arial" w:hAnsi="Arial" w:cs="Arial"/>
          <w:sz w:val="22"/>
          <w:lang w:val="en-GB"/>
        </w:rPr>
        <w:t>in part</w:t>
      </w:r>
      <w:r w:rsidR="00D83378">
        <w:rPr>
          <w:rFonts w:ascii="Arial" w:hAnsi="Arial" w:cs="Arial"/>
          <w:sz w:val="22"/>
          <w:lang w:val="en-GB"/>
        </w:rPr>
        <w:t xml:space="preserve"> attribut</w:t>
      </w:r>
      <w:r w:rsidR="00C75CCB">
        <w:rPr>
          <w:rFonts w:ascii="Arial" w:hAnsi="Arial" w:cs="Arial"/>
          <w:sz w:val="22"/>
          <w:lang w:val="en-GB"/>
        </w:rPr>
        <w:t xml:space="preserve">able to </w:t>
      </w:r>
      <w:r w:rsidR="002073D5">
        <w:rPr>
          <w:rFonts w:ascii="Arial" w:hAnsi="Arial" w:cs="Arial"/>
          <w:sz w:val="22"/>
          <w:lang w:val="en-GB"/>
        </w:rPr>
        <w:t xml:space="preserve">decommissioning of </w:t>
      </w:r>
      <w:r w:rsidR="00871C56">
        <w:rPr>
          <w:rFonts w:ascii="Arial" w:hAnsi="Arial" w:cs="Arial"/>
          <w:sz w:val="22"/>
          <w:lang w:val="en-GB"/>
        </w:rPr>
        <w:t xml:space="preserve">technically </w:t>
      </w:r>
      <w:r w:rsidR="00197190">
        <w:rPr>
          <w:rFonts w:ascii="Arial" w:hAnsi="Arial" w:cs="Arial"/>
          <w:sz w:val="22"/>
          <w:lang w:val="en-GB"/>
        </w:rPr>
        <w:t>unique</w:t>
      </w:r>
      <w:r w:rsidR="00B93145">
        <w:rPr>
          <w:rFonts w:ascii="Arial" w:hAnsi="Arial" w:cs="Arial"/>
          <w:sz w:val="22"/>
          <w:lang w:val="en-GB"/>
        </w:rPr>
        <w:t xml:space="preserve"> wells</w:t>
      </w:r>
      <w:r w:rsidR="00B10910">
        <w:rPr>
          <w:rFonts w:ascii="Arial" w:hAnsi="Arial" w:cs="Arial"/>
          <w:sz w:val="22"/>
          <w:lang w:val="en-GB"/>
        </w:rPr>
        <w:t xml:space="preserve"> plus delays in</w:t>
      </w:r>
      <w:r w:rsidR="00E50A9A">
        <w:rPr>
          <w:rFonts w:ascii="Arial" w:hAnsi="Arial" w:cs="Arial"/>
          <w:sz w:val="22"/>
          <w:lang w:val="en-GB"/>
        </w:rPr>
        <w:t xml:space="preserve">curred due to </w:t>
      </w:r>
      <w:r w:rsidR="00226BA4">
        <w:rPr>
          <w:rFonts w:ascii="Arial" w:hAnsi="Arial" w:cs="Arial"/>
          <w:sz w:val="22"/>
          <w:lang w:val="en-GB"/>
        </w:rPr>
        <w:t xml:space="preserve">the </w:t>
      </w:r>
      <w:r w:rsidR="00E50A9A">
        <w:rPr>
          <w:rFonts w:ascii="Arial" w:hAnsi="Arial" w:cs="Arial"/>
          <w:sz w:val="22"/>
          <w:lang w:val="en-GB"/>
        </w:rPr>
        <w:t>Covid-19</w:t>
      </w:r>
      <w:r w:rsidR="00226BA4">
        <w:rPr>
          <w:rFonts w:ascii="Arial" w:hAnsi="Arial" w:cs="Arial"/>
          <w:sz w:val="22"/>
          <w:lang w:val="en-GB"/>
        </w:rPr>
        <w:t xml:space="preserve"> pandemic</w:t>
      </w:r>
      <w:r w:rsidR="00D22C29">
        <w:rPr>
          <w:rFonts w:ascii="Arial" w:hAnsi="Arial" w:cs="Arial"/>
          <w:sz w:val="22"/>
          <w:lang w:val="en-GB"/>
        </w:rPr>
        <w:t>.</w:t>
      </w:r>
    </w:p>
    <w:p w14:paraId="0EC022E9" w14:textId="77777777" w:rsidR="00B93145" w:rsidRDefault="00B93145" w:rsidP="00C35845">
      <w:pPr>
        <w:rPr>
          <w:rFonts w:ascii="Arial" w:hAnsi="Arial" w:cs="Arial"/>
          <w:sz w:val="22"/>
          <w:lang w:val="en-GB"/>
        </w:rPr>
      </w:pPr>
    </w:p>
    <w:p w14:paraId="61D63F6D" w14:textId="34C7CCA7" w:rsidR="00C35845" w:rsidRDefault="00D83378" w:rsidP="00C35845">
      <w:pPr>
        <w:rPr>
          <w:rFonts w:ascii="Arial" w:hAnsi="Arial" w:cs="Arial"/>
          <w:sz w:val="22"/>
          <w:lang w:val="en-GB"/>
        </w:rPr>
      </w:pPr>
      <w:r>
        <w:rPr>
          <w:rFonts w:ascii="Arial" w:hAnsi="Arial" w:cs="Arial"/>
          <w:sz w:val="22"/>
          <w:lang w:val="en-GB"/>
        </w:rPr>
        <w:t>Only a</w:t>
      </w:r>
      <w:r w:rsidR="00833F4F">
        <w:rPr>
          <w:rFonts w:ascii="Arial" w:hAnsi="Arial" w:cs="Arial"/>
          <w:sz w:val="22"/>
          <w:lang w:val="en-GB"/>
        </w:rPr>
        <w:t xml:space="preserve"> marginal reduction in this benchmark is observed when </w:t>
      </w:r>
      <w:r>
        <w:rPr>
          <w:rFonts w:ascii="Arial" w:hAnsi="Arial" w:cs="Arial"/>
          <w:sz w:val="22"/>
          <w:lang w:val="en-GB"/>
        </w:rPr>
        <w:t xml:space="preserve">consideration of </w:t>
      </w:r>
      <w:r w:rsidR="00BB3139">
        <w:rPr>
          <w:rFonts w:ascii="Arial" w:hAnsi="Arial" w:cs="Arial"/>
          <w:sz w:val="22"/>
          <w:lang w:val="en-GB"/>
        </w:rPr>
        <w:t>u</w:t>
      </w:r>
      <w:r w:rsidR="00D82C66">
        <w:rPr>
          <w:rFonts w:ascii="Arial" w:hAnsi="Arial" w:cs="Arial"/>
          <w:sz w:val="22"/>
          <w:lang w:val="en-GB"/>
        </w:rPr>
        <w:t>nique well design</w:t>
      </w:r>
      <w:r w:rsidR="00BC4C70">
        <w:rPr>
          <w:rFonts w:ascii="Arial" w:hAnsi="Arial" w:cs="Arial"/>
          <w:sz w:val="22"/>
          <w:lang w:val="en-GB"/>
        </w:rPr>
        <w:t xml:space="preserve"> </w:t>
      </w:r>
      <w:r w:rsidR="00FC00D4">
        <w:rPr>
          <w:rFonts w:ascii="Arial" w:hAnsi="Arial" w:cs="Arial"/>
          <w:sz w:val="22"/>
          <w:lang w:val="en-GB"/>
        </w:rPr>
        <w:t xml:space="preserve">and hence </w:t>
      </w:r>
      <w:r w:rsidR="00FE5FCC">
        <w:rPr>
          <w:rFonts w:ascii="Arial" w:hAnsi="Arial" w:cs="Arial"/>
          <w:sz w:val="22"/>
          <w:lang w:val="en-GB"/>
        </w:rPr>
        <w:t xml:space="preserve">requirement for </w:t>
      </w:r>
      <w:r w:rsidR="00C94A95">
        <w:rPr>
          <w:rFonts w:ascii="Arial" w:hAnsi="Arial" w:cs="Arial"/>
          <w:sz w:val="22"/>
          <w:lang w:val="en-GB"/>
        </w:rPr>
        <w:t xml:space="preserve">non-traditional decommissioning </w:t>
      </w:r>
      <w:r>
        <w:rPr>
          <w:rFonts w:ascii="Arial" w:hAnsi="Arial" w:cs="Arial"/>
          <w:sz w:val="22"/>
          <w:lang w:val="en-GB"/>
        </w:rPr>
        <w:t xml:space="preserve">is </w:t>
      </w:r>
      <w:proofErr w:type="gramStart"/>
      <w:r>
        <w:rPr>
          <w:rFonts w:ascii="Arial" w:hAnsi="Arial" w:cs="Arial"/>
          <w:sz w:val="22"/>
          <w:lang w:val="en-GB"/>
        </w:rPr>
        <w:t>taken into account</w:t>
      </w:r>
      <w:proofErr w:type="gramEnd"/>
      <w:r>
        <w:rPr>
          <w:rFonts w:ascii="Arial" w:hAnsi="Arial" w:cs="Arial"/>
          <w:sz w:val="22"/>
          <w:lang w:val="en-GB"/>
        </w:rPr>
        <w:t xml:space="preserve">. </w:t>
      </w:r>
      <w:r w:rsidR="00BC4C70">
        <w:rPr>
          <w:rFonts w:ascii="Arial" w:hAnsi="Arial" w:cs="Arial"/>
          <w:sz w:val="22"/>
          <w:lang w:val="en-GB"/>
        </w:rPr>
        <w:t xml:space="preserve"> </w:t>
      </w:r>
    </w:p>
    <w:p w14:paraId="7002EA72" w14:textId="3AE91811" w:rsidR="00883AB7" w:rsidRDefault="00883AB7" w:rsidP="00C35845">
      <w:pPr>
        <w:rPr>
          <w:rFonts w:ascii="Arial" w:hAnsi="Arial" w:cs="Arial"/>
          <w:sz w:val="22"/>
          <w:lang w:val="en-GB"/>
        </w:rPr>
      </w:pPr>
    </w:p>
    <w:p w14:paraId="779239C7" w14:textId="7E65C008" w:rsidR="005449C5" w:rsidRDefault="006C135C" w:rsidP="00C35845">
      <w:pPr>
        <w:rPr>
          <w:rFonts w:ascii="Arial" w:hAnsi="Arial" w:cs="Arial"/>
          <w:sz w:val="22"/>
          <w:lang w:val="en-GB"/>
        </w:rPr>
      </w:pPr>
      <w:r w:rsidRPr="006C135C">
        <w:rPr>
          <w:rFonts w:ascii="Arial" w:hAnsi="Arial" w:cs="Arial"/>
          <w:sz w:val="22"/>
          <w:lang w:val="en-GB"/>
        </w:rPr>
        <w:t xml:space="preserve">Given the increased prevalence of wells being re-used for CCS, the cost of well decommissioning to a CCS standard will become a contributory factor. As of 2020 the impact on </w:t>
      </w:r>
      <w:r w:rsidR="007F26C5">
        <w:rPr>
          <w:rFonts w:ascii="Arial" w:hAnsi="Arial" w:cs="Arial"/>
          <w:sz w:val="22"/>
          <w:lang w:val="en-GB"/>
        </w:rPr>
        <w:t>the</w:t>
      </w:r>
      <w:r w:rsidRPr="006C135C">
        <w:rPr>
          <w:rFonts w:ascii="Arial" w:hAnsi="Arial" w:cs="Arial"/>
          <w:sz w:val="22"/>
          <w:lang w:val="en-GB"/>
        </w:rPr>
        <w:t xml:space="preserve"> benchmark data is not yet evident.</w:t>
      </w:r>
    </w:p>
    <w:p w14:paraId="20E93ACD" w14:textId="77777777" w:rsidR="006C135C" w:rsidRDefault="006C135C" w:rsidP="00C35845">
      <w:pPr>
        <w:rPr>
          <w:rFonts w:ascii="Arial" w:hAnsi="Arial" w:cs="Arial"/>
          <w:sz w:val="22"/>
          <w:lang w:val="en-GB"/>
        </w:rPr>
      </w:pPr>
    </w:p>
    <w:p w14:paraId="52CB17C6" w14:textId="5B36A2BA" w:rsidR="00C35845" w:rsidRPr="009E0CFB" w:rsidRDefault="00C35845" w:rsidP="00C35845">
      <w:pPr>
        <w:rPr>
          <w:rFonts w:ascii="Arial" w:hAnsi="Arial" w:cs="Arial"/>
          <w:sz w:val="22"/>
          <w:lang w:val="en-GB"/>
        </w:rPr>
      </w:pPr>
      <w:r>
        <w:rPr>
          <w:rFonts w:ascii="Arial" w:hAnsi="Arial" w:cs="Arial"/>
          <w:sz w:val="22"/>
          <w:lang w:val="en-GB"/>
        </w:rPr>
        <w:t>Sample Size:</w:t>
      </w:r>
      <w:r w:rsidR="00ED4F30">
        <w:rPr>
          <w:rFonts w:ascii="Arial" w:hAnsi="Arial" w:cs="Arial"/>
          <w:sz w:val="22"/>
          <w:lang w:val="en-GB"/>
        </w:rPr>
        <w:t xml:space="preserve"> </w:t>
      </w:r>
      <w:r w:rsidR="00ED4F30" w:rsidRPr="00ED4F30">
        <w:rPr>
          <w:rFonts w:ascii="Arial" w:hAnsi="Arial" w:cs="Arial"/>
          <w:sz w:val="22"/>
          <w:lang w:val="en-GB"/>
        </w:rPr>
        <w:t>&gt;50</w:t>
      </w:r>
    </w:p>
    <w:p w14:paraId="75AD4AA9" w14:textId="77777777" w:rsidR="00CC1AC2" w:rsidRDefault="00CC1AC2" w:rsidP="00D0115E">
      <w:pPr>
        <w:rPr>
          <w:rFonts w:ascii="Arial" w:hAnsi="Arial"/>
          <w:b/>
          <w:sz w:val="22"/>
          <w:szCs w:val="22"/>
          <w:lang w:val="en-GB"/>
        </w:rPr>
      </w:pPr>
    </w:p>
    <w:p w14:paraId="0BF449CD" w14:textId="2D0FE1EA" w:rsidR="006A452E" w:rsidRPr="009E0CFB" w:rsidRDefault="006A452E" w:rsidP="008947FB">
      <w:pPr>
        <w:rPr>
          <w:lang w:val="en-GB"/>
        </w:rPr>
      </w:pPr>
      <w:r w:rsidRPr="009E0CFB">
        <w:rPr>
          <w:rFonts w:ascii="Arial" w:hAnsi="Arial"/>
          <w:b/>
          <w:sz w:val="22"/>
          <w:szCs w:val="22"/>
          <w:lang w:val="en-GB"/>
        </w:rPr>
        <w:t xml:space="preserve">Figure </w:t>
      </w:r>
      <w:r w:rsidR="003D271A">
        <w:rPr>
          <w:rFonts w:ascii="Arial" w:hAnsi="Arial"/>
          <w:b/>
          <w:sz w:val="22"/>
          <w:szCs w:val="22"/>
          <w:lang w:val="en-GB"/>
        </w:rPr>
        <w:t>1</w:t>
      </w:r>
      <w:r w:rsidR="00F37312">
        <w:rPr>
          <w:rFonts w:ascii="Arial" w:hAnsi="Arial"/>
          <w:b/>
          <w:sz w:val="22"/>
          <w:szCs w:val="22"/>
          <w:lang w:val="en-GB"/>
        </w:rPr>
        <w:t>3</w:t>
      </w:r>
      <w:r w:rsidR="001D5722">
        <w:rPr>
          <w:rFonts w:ascii="Arial" w:hAnsi="Arial"/>
          <w:b/>
          <w:sz w:val="22"/>
          <w:szCs w:val="22"/>
          <w:lang w:val="en-GB"/>
        </w:rPr>
        <w:t>:</w:t>
      </w:r>
      <w:r w:rsidRPr="009E0CFB">
        <w:rPr>
          <w:rFonts w:ascii="Arial" w:hAnsi="Arial"/>
          <w:b/>
          <w:sz w:val="22"/>
          <w:szCs w:val="22"/>
          <w:lang w:val="en-GB"/>
        </w:rPr>
        <w:t xml:space="preserve"> </w:t>
      </w:r>
      <w:r w:rsidR="00364F8D">
        <w:rPr>
          <w:rFonts w:ascii="Arial" w:hAnsi="Arial"/>
          <w:b/>
          <w:sz w:val="22"/>
          <w:szCs w:val="22"/>
          <w:lang w:val="en-GB"/>
        </w:rPr>
        <w:t>P</w:t>
      </w:r>
      <w:r w:rsidRPr="009E0CFB">
        <w:rPr>
          <w:rFonts w:ascii="Arial" w:hAnsi="Arial"/>
          <w:b/>
          <w:sz w:val="22"/>
          <w:szCs w:val="22"/>
          <w:lang w:val="en-GB"/>
        </w:rPr>
        <w:t xml:space="preserve">latform </w:t>
      </w:r>
      <w:r w:rsidR="00074A0A">
        <w:rPr>
          <w:rFonts w:ascii="Arial" w:hAnsi="Arial"/>
          <w:b/>
          <w:sz w:val="22"/>
          <w:szCs w:val="22"/>
          <w:lang w:val="en-GB"/>
        </w:rPr>
        <w:t>well decommissioning</w:t>
      </w:r>
      <w:r w:rsidRPr="009E0CFB">
        <w:rPr>
          <w:rFonts w:ascii="Arial" w:hAnsi="Arial"/>
          <w:b/>
          <w:sz w:val="22"/>
          <w:szCs w:val="22"/>
          <w:lang w:val="en-GB"/>
        </w:rPr>
        <w:t xml:space="preserve"> cost distribution: SNS</w:t>
      </w:r>
      <w:r w:rsidR="00EB7504">
        <w:rPr>
          <w:lang w:val="en-GB"/>
        </w:rPr>
        <w:tab/>
      </w:r>
    </w:p>
    <w:p w14:paraId="684406AB" w14:textId="78FB353E" w:rsidR="00F63311" w:rsidRPr="009E0CFB" w:rsidRDefault="00F63311" w:rsidP="00393059">
      <w:pPr>
        <w:rPr>
          <w:rFonts w:ascii="Arial" w:hAnsi="Arial" w:cs="Arial"/>
          <w:sz w:val="22"/>
          <w:lang w:val="en-GB"/>
        </w:rPr>
      </w:pPr>
    </w:p>
    <w:p w14:paraId="216E563A" w14:textId="77777777" w:rsidR="0089429B" w:rsidRPr="009E0CFB" w:rsidRDefault="0089429B" w:rsidP="00D27BBA">
      <w:pPr>
        <w:jc w:val="both"/>
        <w:rPr>
          <w:rFonts w:ascii="Arial" w:hAnsi="Arial" w:cs="Arial"/>
          <w:sz w:val="22"/>
          <w:szCs w:val="22"/>
          <w:lang w:val="en-GB"/>
        </w:rPr>
      </w:pPr>
    </w:p>
    <w:p w14:paraId="4C55829B" w14:textId="77777777" w:rsidR="005F1D74" w:rsidRDefault="008E0640" w:rsidP="005C10BB">
      <w:pPr>
        <w:rPr>
          <w:rFonts w:ascii="Arial" w:hAnsi="Arial"/>
          <w:b/>
          <w:sz w:val="22"/>
          <w:szCs w:val="22"/>
          <w:lang w:val="en-GB"/>
        </w:rPr>
      </w:pPr>
      <w:r>
        <w:rPr>
          <w:rFonts w:ascii="Arial" w:hAnsi="Arial"/>
          <w:b/>
          <w:noProof/>
          <w:sz w:val="22"/>
          <w:szCs w:val="22"/>
          <w:lang w:val="en-GB"/>
        </w:rPr>
        <w:drawing>
          <wp:inline distT="0" distB="0" distL="0" distR="0" wp14:anchorId="1A2703DE" wp14:editId="4DD1598E">
            <wp:extent cx="4425950" cy="261605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6159" cy="2622091"/>
                    </a:xfrm>
                    <a:prstGeom prst="rect">
                      <a:avLst/>
                    </a:prstGeom>
                    <a:noFill/>
                  </pic:spPr>
                </pic:pic>
              </a:graphicData>
            </a:graphic>
          </wp:inline>
        </w:drawing>
      </w:r>
      <w:r w:rsidR="00896C4C" w:rsidRPr="00896C4C">
        <w:rPr>
          <w:rFonts w:ascii="Arial" w:hAnsi="Arial"/>
          <w:b/>
          <w:sz w:val="22"/>
          <w:szCs w:val="22"/>
          <w:lang w:val="en-GB"/>
        </w:rPr>
        <w:t xml:space="preserve"> </w:t>
      </w:r>
      <w:r w:rsidR="00896C4C" w:rsidRPr="00896C4C">
        <w:rPr>
          <w:noProof/>
        </w:rPr>
        <w:drawing>
          <wp:inline distT="0" distB="0" distL="0" distR="0" wp14:anchorId="63C7DEB2" wp14:editId="6B929259">
            <wp:extent cx="1280160" cy="6400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p>
    <w:p w14:paraId="62C3DCA3" w14:textId="77777777" w:rsidR="005F1D74" w:rsidRDefault="005F1D74" w:rsidP="005C10BB">
      <w:pPr>
        <w:rPr>
          <w:rFonts w:ascii="Arial" w:hAnsi="Arial"/>
          <w:b/>
          <w:sz w:val="22"/>
          <w:szCs w:val="22"/>
          <w:lang w:val="en-GB"/>
        </w:rPr>
      </w:pPr>
    </w:p>
    <w:p w14:paraId="1B6B7D22" w14:textId="7872E880" w:rsidR="00074A0A" w:rsidRPr="005C10BB" w:rsidRDefault="00175FDF" w:rsidP="005C10BB">
      <w:pPr>
        <w:rPr>
          <w:rFonts w:ascii="Arial" w:hAnsi="Arial"/>
          <w:b/>
          <w:sz w:val="22"/>
          <w:szCs w:val="22"/>
          <w:lang w:val="en-GB"/>
        </w:rPr>
      </w:pPr>
      <w:r w:rsidRPr="00175FDF">
        <w:rPr>
          <w:rFonts w:ascii="Arial" w:hAnsi="Arial"/>
          <w:b/>
          <w:noProof/>
          <w:sz w:val="22"/>
          <w:szCs w:val="22"/>
          <w:lang w:val="en-GB"/>
        </w:rPr>
        <w:drawing>
          <wp:inline distT="0" distB="0" distL="0" distR="0" wp14:anchorId="6B4E6CF6" wp14:editId="3AB6F9F3">
            <wp:extent cx="5572166" cy="3438550"/>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572166" cy="3438550"/>
                    </a:xfrm>
                    <a:prstGeom prst="rect">
                      <a:avLst/>
                    </a:prstGeom>
                  </pic:spPr>
                </pic:pic>
              </a:graphicData>
            </a:graphic>
          </wp:inline>
        </w:drawing>
      </w:r>
      <w:r w:rsidR="004D4E5E" w:rsidRPr="009E0CFB">
        <w:rPr>
          <w:rFonts w:ascii="Arial" w:hAnsi="Arial"/>
          <w:b/>
          <w:sz w:val="22"/>
          <w:szCs w:val="22"/>
          <w:lang w:val="en-GB"/>
        </w:rPr>
        <w:br w:type="page"/>
      </w:r>
    </w:p>
    <w:p w14:paraId="35422014" w14:textId="77777777" w:rsidR="000D6754" w:rsidRPr="00015952" w:rsidRDefault="000D6754" w:rsidP="00015952">
      <w:pPr>
        <w:jc w:val="both"/>
        <w:rPr>
          <w:rFonts w:ascii="Arial" w:hAnsi="Arial" w:cs="Arial"/>
          <w:sz w:val="22"/>
          <w:lang w:val="en-GB"/>
        </w:rPr>
      </w:pPr>
    </w:p>
    <w:p w14:paraId="5F5E471E" w14:textId="4F3092C5" w:rsidR="00DA5811" w:rsidRDefault="0070123B" w:rsidP="00D1283B">
      <w:pPr>
        <w:pStyle w:val="Heading1"/>
        <w:numPr>
          <w:ilvl w:val="1"/>
          <w:numId w:val="40"/>
        </w:numPr>
        <w:jc w:val="left"/>
        <w:rPr>
          <w:lang w:val="en-GB"/>
        </w:rPr>
      </w:pPr>
      <w:bookmarkStart w:id="136" w:name="_Toc85627565"/>
      <w:r w:rsidRPr="008947FB">
        <w:rPr>
          <w:lang w:val="en-GB"/>
        </w:rPr>
        <w:t>Subsea development well decommissioning costs</w:t>
      </w:r>
      <w:bookmarkEnd w:id="136"/>
      <w:r w:rsidRPr="008947FB">
        <w:rPr>
          <w:lang w:val="en-GB"/>
        </w:rPr>
        <w:t xml:space="preserve"> </w:t>
      </w:r>
    </w:p>
    <w:p w14:paraId="595C8BAB" w14:textId="77777777" w:rsidR="00D1283B" w:rsidRDefault="00D1283B" w:rsidP="00D1283B">
      <w:pPr>
        <w:pStyle w:val="ListParagraph"/>
        <w:ind w:left="372"/>
      </w:pPr>
    </w:p>
    <w:p w14:paraId="620B8454" w14:textId="3EDB45C1" w:rsidR="0070123B" w:rsidRPr="00C40698" w:rsidRDefault="00794098" w:rsidP="0070123B">
      <w:pPr>
        <w:jc w:val="both"/>
        <w:rPr>
          <w:rFonts w:ascii="Arial" w:hAnsi="Arial" w:cs="Arial"/>
          <w:b/>
          <w:sz w:val="22"/>
          <w:szCs w:val="24"/>
          <w:u w:val="single"/>
          <w:lang w:val="en-GB"/>
        </w:rPr>
      </w:pPr>
      <w:r w:rsidRPr="009D54F3">
        <w:rPr>
          <w:rFonts w:ascii="Arial" w:hAnsi="Arial" w:cs="Arial"/>
          <w:b/>
          <w:sz w:val="22"/>
          <w:szCs w:val="24"/>
          <w:u w:val="single"/>
          <w:lang w:val="en-GB"/>
        </w:rPr>
        <w:t>N</w:t>
      </w:r>
      <w:r w:rsidR="0070123B" w:rsidRPr="009D54F3">
        <w:rPr>
          <w:rFonts w:ascii="Arial" w:hAnsi="Arial" w:cs="Arial"/>
          <w:b/>
          <w:sz w:val="22"/>
          <w:szCs w:val="24"/>
          <w:u w:val="single"/>
          <w:lang w:val="en-GB"/>
        </w:rPr>
        <w:t>NS &amp; CNS</w:t>
      </w:r>
    </w:p>
    <w:p w14:paraId="6EE06877" w14:textId="77777777" w:rsidR="0070123B" w:rsidRDefault="0070123B" w:rsidP="0070123B">
      <w:pPr>
        <w:jc w:val="both"/>
        <w:rPr>
          <w:rFonts w:ascii="Arial" w:hAnsi="Arial" w:cs="Arial"/>
          <w:sz w:val="22"/>
          <w:szCs w:val="24"/>
          <w:lang w:val="en-GB"/>
        </w:rPr>
      </w:pPr>
    </w:p>
    <w:p w14:paraId="04606C59" w14:textId="36F0023A" w:rsidR="00D70D5A" w:rsidRPr="00D70D5A" w:rsidRDefault="00B2760E" w:rsidP="00D70D5A">
      <w:pPr>
        <w:jc w:val="both"/>
        <w:rPr>
          <w:rFonts w:ascii="Arial" w:hAnsi="Arial" w:cs="Arial"/>
          <w:sz w:val="22"/>
          <w:lang w:val="en-GB"/>
        </w:rPr>
      </w:pPr>
      <w:r>
        <w:rPr>
          <w:rFonts w:ascii="Arial" w:hAnsi="Arial" w:cs="Arial"/>
          <w:sz w:val="22"/>
          <w:lang w:val="en-GB"/>
        </w:rPr>
        <w:t xml:space="preserve">Cost </w:t>
      </w:r>
      <w:r w:rsidR="006B6EB7">
        <w:rPr>
          <w:rFonts w:ascii="Arial" w:hAnsi="Arial" w:cs="Arial"/>
          <w:sz w:val="22"/>
          <w:lang w:val="en-GB"/>
        </w:rPr>
        <w:t xml:space="preserve">uncertainty </w:t>
      </w:r>
      <w:r>
        <w:rPr>
          <w:rFonts w:ascii="Arial" w:hAnsi="Arial" w:cs="Arial"/>
          <w:sz w:val="22"/>
          <w:lang w:val="en-GB"/>
        </w:rPr>
        <w:t xml:space="preserve">remains </w:t>
      </w:r>
      <w:r w:rsidR="005C206F">
        <w:rPr>
          <w:rFonts w:ascii="Arial" w:hAnsi="Arial" w:cs="Arial"/>
          <w:sz w:val="22"/>
          <w:lang w:val="en-GB"/>
        </w:rPr>
        <w:t xml:space="preserve">relatively neutral over reporting period. </w:t>
      </w:r>
    </w:p>
    <w:p w14:paraId="5524FD18" w14:textId="77777777" w:rsidR="00ED4F30" w:rsidRDefault="00ED4F30" w:rsidP="0070123B">
      <w:pPr>
        <w:jc w:val="both"/>
        <w:rPr>
          <w:rFonts w:ascii="Arial" w:hAnsi="Arial" w:cs="Arial"/>
          <w:sz w:val="22"/>
          <w:lang w:val="en-GB"/>
        </w:rPr>
      </w:pPr>
    </w:p>
    <w:p w14:paraId="4C1217AC" w14:textId="774036E9" w:rsidR="00ED4F30" w:rsidRDefault="00ED4F30" w:rsidP="0070123B">
      <w:pPr>
        <w:jc w:val="both"/>
        <w:rPr>
          <w:rFonts w:ascii="Arial" w:hAnsi="Arial"/>
          <w:b/>
          <w:sz w:val="22"/>
          <w:szCs w:val="22"/>
          <w:lang w:val="en-GB"/>
        </w:rPr>
      </w:pPr>
      <w:r>
        <w:rPr>
          <w:rFonts w:ascii="Arial" w:hAnsi="Arial" w:cs="Arial"/>
          <w:sz w:val="22"/>
          <w:lang w:val="en-GB"/>
        </w:rPr>
        <w:t xml:space="preserve">Sample Size: </w:t>
      </w:r>
      <w:r w:rsidR="00D21BD5" w:rsidRPr="00D21BD5">
        <w:rPr>
          <w:rFonts w:ascii="Arial" w:hAnsi="Arial" w:cs="Arial"/>
          <w:sz w:val="22"/>
          <w:lang w:val="en-GB"/>
        </w:rPr>
        <w:t>&gt;50</w:t>
      </w:r>
    </w:p>
    <w:p w14:paraId="05567D24" w14:textId="77777777" w:rsidR="0070123B" w:rsidRDefault="0070123B" w:rsidP="00D27BBA">
      <w:pPr>
        <w:jc w:val="both"/>
        <w:rPr>
          <w:rFonts w:ascii="Arial" w:hAnsi="Arial"/>
          <w:b/>
          <w:sz w:val="22"/>
          <w:szCs w:val="22"/>
          <w:lang w:val="en-GB"/>
        </w:rPr>
      </w:pPr>
    </w:p>
    <w:p w14:paraId="131CB32F" w14:textId="0FC9448B" w:rsidR="0046713D" w:rsidRPr="009E0CFB" w:rsidRDefault="0046713D" w:rsidP="00D27BBA">
      <w:pPr>
        <w:jc w:val="both"/>
        <w:rPr>
          <w:rFonts w:ascii="Arial" w:hAnsi="Arial" w:cs="Arial"/>
          <w:sz w:val="22"/>
          <w:szCs w:val="22"/>
          <w:lang w:val="en-GB"/>
        </w:rPr>
      </w:pPr>
      <w:r w:rsidRPr="009E0CFB">
        <w:rPr>
          <w:rFonts w:ascii="Arial" w:hAnsi="Arial"/>
          <w:b/>
          <w:sz w:val="22"/>
          <w:szCs w:val="22"/>
          <w:lang w:val="en-GB"/>
        </w:rPr>
        <w:t xml:space="preserve">Figure </w:t>
      </w:r>
      <w:r w:rsidR="003D271A">
        <w:rPr>
          <w:rFonts w:ascii="Arial" w:hAnsi="Arial"/>
          <w:b/>
          <w:sz w:val="22"/>
          <w:szCs w:val="22"/>
          <w:lang w:val="en-GB"/>
        </w:rPr>
        <w:t>1</w:t>
      </w:r>
      <w:r w:rsidR="00F37312">
        <w:rPr>
          <w:rFonts w:ascii="Arial" w:hAnsi="Arial"/>
          <w:b/>
          <w:sz w:val="22"/>
          <w:szCs w:val="22"/>
          <w:lang w:val="en-GB"/>
        </w:rPr>
        <w:t>4</w:t>
      </w:r>
      <w:r w:rsidRPr="009E0CFB">
        <w:rPr>
          <w:rFonts w:ascii="Arial" w:hAnsi="Arial"/>
          <w:b/>
          <w:sz w:val="22"/>
          <w:szCs w:val="22"/>
          <w:lang w:val="en-GB"/>
        </w:rPr>
        <w:t xml:space="preserve">: Subsea </w:t>
      </w:r>
      <w:r w:rsidR="00074A0A">
        <w:rPr>
          <w:rFonts w:ascii="Arial" w:hAnsi="Arial"/>
          <w:b/>
          <w:sz w:val="22"/>
          <w:szCs w:val="22"/>
          <w:lang w:val="en-GB"/>
        </w:rPr>
        <w:t xml:space="preserve">development </w:t>
      </w:r>
      <w:r w:rsidR="005F306A" w:rsidRPr="009E0CFB">
        <w:rPr>
          <w:rFonts w:ascii="Arial" w:hAnsi="Arial"/>
          <w:b/>
          <w:sz w:val="22"/>
          <w:szCs w:val="22"/>
          <w:lang w:val="en-GB"/>
        </w:rPr>
        <w:t xml:space="preserve">well </w:t>
      </w:r>
      <w:r w:rsidR="00074A0A">
        <w:rPr>
          <w:rFonts w:ascii="Arial" w:hAnsi="Arial"/>
          <w:b/>
          <w:sz w:val="22"/>
          <w:szCs w:val="22"/>
          <w:lang w:val="en-GB"/>
        </w:rPr>
        <w:t>decommissioning</w:t>
      </w:r>
      <w:r w:rsidRPr="009E0CFB">
        <w:rPr>
          <w:rFonts w:ascii="Arial" w:hAnsi="Arial"/>
          <w:b/>
          <w:sz w:val="22"/>
          <w:szCs w:val="22"/>
          <w:lang w:val="en-GB"/>
        </w:rPr>
        <w:t xml:space="preserve"> cost distribution: N</w:t>
      </w:r>
      <w:r w:rsidR="006F6D1A" w:rsidRPr="009E0CFB">
        <w:rPr>
          <w:rFonts w:ascii="Arial" w:hAnsi="Arial"/>
          <w:b/>
          <w:sz w:val="22"/>
          <w:szCs w:val="22"/>
          <w:lang w:val="en-GB"/>
        </w:rPr>
        <w:t>NS</w:t>
      </w:r>
      <w:r w:rsidRPr="009E0CFB">
        <w:rPr>
          <w:rFonts w:ascii="Arial" w:hAnsi="Arial"/>
          <w:b/>
          <w:sz w:val="22"/>
          <w:szCs w:val="22"/>
          <w:lang w:val="en-GB"/>
        </w:rPr>
        <w:t xml:space="preserve"> &amp; C</w:t>
      </w:r>
      <w:r w:rsidR="006F6D1A" w:rsidRPr="009E0CFB">
        <w:rPr>
          <w:rFonts w:ascii="Arial" w:hAnsi="Arial"/>
          <w:b/>
          <w:sz w:val="22"/>
          <w:szCs w:val="22"/>
          <w:lang w:val="en-GB"/>
        </w:rPr>
        <w:t>NS</w:t>
      </w:r>
    </w:p>
    <w:p w14:paraId="4F12DD87" w14:textId="65202BAE" w:rsidR="00821F11" w:rsidRPr="009E0CFB" w:rsidRDefault="00821F11" w:rsidP="00C41D4F">
      <w:pPr>
        <w:jc w:val="center"/>
        <w:rPr>
          <w:rFonts w:ascii="Arial" w:hAnsi="Arial" w:cs="Arial"/>
          <w:sz w:val="22"/>
          <w:szCs w:val="22"/>
          <w:lang w:val="en-GB"/>
        </w:rPr>
      </w:pPr>
    </w:p>
    <w:p w14:paraId="00B84D6A" w14:textId="7FDBE020" w:rsidR="00311E47" w:rsidRDefault="00311E47" w:rsidP="0046713D">
      <w:pPr>
        <w:jc w:val="both"/>
        <w:rPr>
          <w:rFonts w:ascii="Arial" w:hAnsi="Arial" w:cs="Arial"/>
          <w:sz w:val="22"/>
          <w:szCs w:val="22"/>
          <w:lang w:val="en-GB"/>
        </w:rPr>
      </w:pPr>
    </w:p>
    <w:p w14:paraId="44A21E98" w14:textId="7C040688" w:rsidR="0046713D" w:rsidRPr="009E0CFB" w:rsidRDefault="00F03222" w:rsidP="0046713D">
      <w:pPr>
        <w:jc w:val="both"/>
        <w:rPr>
          <w:rFonts w:ascii="Arial" w:hAnsi="Arial"/>
          <w:b/>
          <w:sz w:val="22"/>
          <w:szCs w:val="22"/>
          <w:lang w:val="en-GB"/>
        </w:rPr>
      </w:pPr>
      <w:r>
        <w:rPr>
          <w:rFonts w:ascii="Arial" w:hAnsi="Arial"/>
          <w:b/>
          <w:noProof/>
          <w:sz w:val="22"/>
          <w:szCs w:val="22"/>
          <w:lang w:val="en-GB"/>
        </w:rPr>
        <w:drawing>
          <wp:inline distT="0" distB="0" distL="0" distR="0" wp14:anchorId="2B22A7D8" wp14:editId="70A65B20">
            <wp:extent cx="4397726" cy="2590800"/>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07719" cy="2596687"/>
                    </a:xfrm>
                    <a:prstGeom prst="rect">
                      <a:avLst/>
                    </a:prstGeom>
                    <a:noFill/>
                  </pic:spPr>
                </pic:pic>
              </a:graphicData>
            </a:graphic>
          </wp:inline>
        </w:drawing>
      </w:r>
      <w:r w:rsidR="009D1E56" w:rsidRPr="009D1E56">
        <w:rPr>
          <w:rFonts w:ascii="Arial" w:hAnsi="Arial"/>
          <w:b/>
          <w:sz w:val="22"/>
          <w:szCs w:val="22"/>
          <w:lang w:val="en-GB"/>
        </w:rPr>
        <w:t xml:space="preserve"> </w:t>
      </w:r>
      <w:r w:rsidR="009D1E56" w:rsidRPr="009D1E56">
        <w:rPr>
          <w:noProof/>
        </w:rPr>
        <w:drawing>
          <wp:inline distT="0" distB="0" distL="0" distR="0" wp14:anchorId="1A248573" wp14:editId="351B8154">
            <wp:extent cx="1280160" cy="6400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p>
    <w:p w14:paraId="3AE834F0" w14:textId="77777777" w:rsidR="00464BD8" w:rsidRDefault="00464BD8">
      <w:pPr>
        <w:rPr>
          <w:rFonts w:ascii="Arial" w:hAnsi="Arial"/>
          <w:b/>
          <w:sz w:val="22"/>
          <w:szCs w:val="22"/>
          <w:lang w:val="en-GB"/>
        </w:rPr>
      </w:pPr>
    </w:p>
    <w:p w14:paraId="35DDBB35" w14:textId="77777777" w:rsidR="00464BD8" w:rsidRDefault="00464BD8">
      <w:pPr>
        <w:rPr>
          <w:rFonts w:ascii="Arial" w:hAnsi="Arial"/>
          <w:b/>
          <w:sz w:val="22"/>
          <w:szCs w:val="22"/>
          <w:lang w:val="en-GB"/>
        </w:rPr>
      </w:pPr>
    </w:p>
    <w:p w14:paraId="0B15E3D2" w14:textId="20823F8A" w:rsidR="002D52AA" w:rsidRDefault="00BF728F">
      <w:pPr>
        <w:rPr>
          <w:rFonts w:ascii="Arial" w:hAnsi="Arial"/>
          <w:b/>
          <w:sz w:val="22"/>
          <w:szCs w:val="22"/>
          <w:lang w:val="en-GB"/>
        </w:rPr>
      </w:pPr>
      <w:r w:rsidRPr="00BF728F">
        <w:rPr>
          <w:rFonts w:ascii="Arial" w:hAnsi="Arial"/>
          <w:b/>
          <w:noProof/>
          <w:sz w:val="22"/>
          <w:szCs w:val="22"/>
          <w:lang w:val="en-GB"/>
        </w:rPr>
        <w:drawing>
          <wp:inline distT="0" distB="0" distL="0" distR="0" wp14:anchorId="141F297C" wp14:editId="24E60766">
            <wp:extent cx="4883858" cy="303176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919029" cy="3053595"/>
                    </a:xfrm>
                    <a:prstGeom prst="rect">
                      <a:avLst/>
                    </a:prstGeom>
                  </pic:spPr>
                </pic:pic>
              </a:graphicData>
            </a:graphic>
          </wp:inline>
        </w:drawing>
      </w:r>
      <w:r w:rsidR="002D52AA">
        <w:rPr>
          <w:rFonts w:ascii="Arial" w:hAnsi="Arial"/>
          <w:b/>
          <w:sz w:val="22"/>
          <w:szCs w:val="22"/>
          <w:lang w:val="en-GB"/>
        </w:rPr>
        <w:br w:type="page"/>
      </w:r>
    </w:p>
    <w:p w14:paraId="246DAD13" w14:textId="77777777" w:rsidR="00D65428" w:rsidRDefault="00D65428">
      <w:pPr>
        <w:rPr>
          <w:rFonts w:ascii="Arial" w:hAnsi="Arial"/>
          <w:b/>
          <w:sz w:val="22"/>
          <w:szCs w:val="22"/>
          <w:lang w:val="en-GB"/>
        </w:rPr>
      </w:pPr>
    </w:p>
    <w:p w14:paraId="2FD039C4" w14:textId="1791E88B" w:rsidR="002D3204" w:rsidRPr="00C40698" w:rsidRDefault="002D3204" w:rsidP="002D3204">
      <w:pPr>
        <w:jc w:val="both"/>
        <w:rPr>
          <w:rFonts w:ascii="Arial" w:hAnsi="Arial" w:cs="Arial"/>
          <w:b/>
          <w:sz w:val="22"/>
          <w:szCs w:val="24"/>
          <w:u w:val="single"/>
          <w:lang w:val="en-GB"/>
        </w:rPr>
      </w:pPr>
      <w:r>
        <w:rPr>
          <w:rFonts w:ascii="Arial" w:hAnsi="Arial" w:cs="Arial"/>
          <w:b/>
          <w:sz w:val="22"/>
          <w:szCs w:val="24"/>
          <w:u w:val="single"/>
          <w:lang w:val="en-GB"/>
        </w:rPr>
        <w:t>S</w:t>
      </w:r>
      <w:r w:rsidRPr="00C40698">
        <w:rPr>
          <w:rFonts w:ascii="Arial" w:hAnsi="Arial" w:cs="Arial"/>
          <w:b/>
          <w:sz w:val="22"/>
          <w:szCs w:val="24"/>
          <w:u w:val="single"/>
          <w:lang w:val="en-GB"/>
        </w:rPr>
        <w:t>NS</w:t>
      </w:r>
    </w:p>
    <w:p w14:paraId="6244EEA4" w14:textId="77777777" w:rsidR="002D3204" w:rsidRDefault="002D3204" w:rsidP="002D3204">
      <w:pPr>
        <w:jc w:val="both"/>
        <w:rPr>
          <w:rFonts w:ascii="Arial" w:hAnsi="Arial" w:cs="Arial"/>
          <w:sz w:val="22"/>
          <w:szCs w:val="24"/>
          <w:lang w:val="en-GB"/>
        </w:rPr>
      </w:pPr>
    </w:p>
    <w:p w14:paraId="4099471F" w14:textId="3E074F5A" w:rsidR="00293098" w:rsidRDefault="00293098" w:rsidP="002D3204">
      <w:pPr>
        <w:jc w:val="both"/>
        <w:rPr>
          <w:rFonts w:ascii="Arial" w:hAnsi="Arial"/>
          <w:b/>
          <w:sz w:val="22"/>
          <w:szCs w:val="22"/>
          <w:lang w:val="en-GB"/>
        </w:rPr>
      </w:pPr>
      <w:r>
        <w:rPr>
          <w:rFonts w:ascii="Arial" w:hAnsi="Arial" w:cs="Arial"/>
          <w:sz w:val="22"/>
          <w:lang w:val="en-GB"/>
        </w:rPr>
        <w:t xml:space="preserve">Sample Size: </w:t>
      </w:r>
      <w:r w:rsidR="00861B23" w:rsidRPr="00861B23">
        <w:rPr>
          <w:rFonts w:ascii="Arial" w:hAnsi="Arial" w:cs="Arial"/>
          <w:sz w:val="22"/>
          <w:lang w:val="en-GB"/>
        </w:rPr>
        <w:t>21-30</w:t>
      </w:r>
    </w:p>
    <w:p w14:paraId="4142840A" w14:textId="77777777" w:rsidR="002D3204" w:rsidRDefault="002D3204" w:rsidP="0046713D">
      <w:pPr>
        <w:jc w:val="both"/>
        <w:rPr>
          <w:rFonts w:ascii="Arial" w:hAnsi="Arial"/>
          <w:b/>
          <w:sz w:val="22"/>
          <w:szCs w:val="22"/>
          <w:lang w:val="en-GB"/>
        </w:rPr>
      </w:pPr>
    </w:p>
    <w:p w14:paraId="1A7C803E" w14:textId="2B2E33E7" w:rsidR="006F020D" w:rsidRPr="009E0CFB" w:rsidRDefault="0046713D" w:rsidP="0046713D">
      <w:pPr>
        <w:jc w:val="both"/>
        <w:rPr>
          <w:rFonts w:ascii="Arial" w:hAnsi="Arial"/>
          <w:b/>
          <w:sz w:val="22"/>
          <w:szCs w:val="22"/>
          <w:lang w:val="en-GB"/>
        </w:rPr>
      </w:pPr>
      <w:r w:rsidRPr="009E0CFB">
        <w:rPr>
          <w:rFonts w:ascii="Arial" w:hAnsi="Arial"/>
          <w:b/>
          <w:sz w:val="22"/>
          <w:szCs w:val="22"/>
          <w:lang w:val="en-GB"/>
        </w:rPr>
        <w:t xml:space="preserve">Figure </w:t>
      </w:r>
      <w:r w:rsidR="00074A0A">
        <w:rPr>
          <w:rFonts w:ascii="Arial" w:hAnsi="Arial"/>
          <w:b/>
          <w:sz w:val="22"/>
          <w:szCs w:val="22"/>
          <w:lang w:val="en-GB"/>
        </w:rPr>
        <w:t>1</w:t>
      </w:r>
      <w:r w:rsidR="00F37312">
        <w:rPr>
          <w:rFonts w:ascii="Arial" w:hAnsi="Arial"/>
          <w:b/>
          <w:sz w:val="22"/>
          <w:szCs w:val="22"/>
          <w:lang w:val="en-GB"/>
        </w:rPr>
        <w:t>5</w:t>
      </w:r>
      <w:r w:rsidRPr="009E0CFB">
        <w:rPr>
          <w:rFonts w:ascii="Arial" w:hAnsi="Arial"/>
          <w:b/>
          <w:sz w:val="22"/>
          <w:szCs w:val="22"/>
          <w:lang w:val="en-GB"/>
        </w:rPr>
        <w:t xml:space="preserve">: Subsea </w:t>
      </w:r>
      <w:r w:rsidR="00074A0A">
        <w:rPr>
          <w:rFonts w:ascii="Arial" w:hAnsi="Arial"/>
          <w:b/>
          <w:sz w:val="22"/>
          <w:szCs w:val="22"/>
          <w:lang w:val="en-GB"/>
        </w:rPr>
        <w:t xml:space="preserve">development </w:t>
      </w:r>
      <w:r w:rsidR="000651AD" w:rsidRPr="009E0CFB">
        <w:rPr>
          <w:rFonts w:ascii="Arial" w:hAnsi="Arial"/>
          <w:b/>
          <w:sz w:val="22"/>
          <w:szCs w:val="22"/>
          <w:lang w:val="en-GB"/>
        </w:rPr>
        <w:t xml:space="preserve">well </w:t>
      </w:r>
      <w:r w:rsidR="00074A0A">
        <w:rPr>
          <w:rFonts w:ascii="Arial" w:hAnsi="Arial"/>
          <w:b/>
          <w:sz w:val="22"/>
          <w:szCs w:val="22"/>
          <w:lang w:val="en-GB"/>
        </w:rPr>
        <w:t>decommissioning</w:t>
      </w:r>
      <w:r w:rsidRPr="009E0CFB">
        <w:rPr>
          <w:rFonts w:ascii="Arial" w:hAnsi="Arial"/>
          <w:b/>
          <w:sz w:val="22"/>
          <w:szCs w:val="22"/>
          <w:lang w:val="en-GB"/>
        </w:rPr>
        <w:t xml:space="preserve"> cost distribution: </w:t>
      </w:r>
      <w:r w:rsidR="000651AD" w:rsidRPr="009E0CFB">
        <w:rPr>
          <w:rFonts w:ascii="Arial" w:hAnsi="Arial"/>
          <w:b/>
          <w:sz w:val="22"/>
          <w:szCs w:val="22"/>
          <w:lang w:val="en-GB"/>
        </w:rPr>
        <w:t>SNS</w:t>
      </w:r>
    </w:p>
    <w:p w14:paraId="355087E4" w14:textId="2D3EEFA4" w:rsidR="006F020D" w:rsidRPr="009E0CFB" w:rsidRDefault="006F020D" w:rsidP="00C41D4F">
      <w:pPr>
        <w:jc w:val="center"/>
        <w:rPr>
          <w:lang w:val="en-GB"/>
        </w:rPr>
      </w:pPr>
    </w:p>
    <w:p w14:paraId="1835C263" w14:textId="6176D5DC" w:rsidR="00C05A4D" w:rsidRDefault="00C05A4D" w:rsidP="009D631B">
      <w:pPr>
        <w:jc w:val="both"/>
        <w:rPr>
          <w:rFonts w:ascii="Arial" w:hAnsi="Arial" w:cs="Arial"/>
          <w:sz w:val="22"/>
          <w:szCs w:val="22"/>
          <w:lang w:val="en-GB"/>
        </w:rPr>
      </w:pPr>
    </w:p>
    <w:p w14:paraId="7D5C1470" w14:textId="45275D1B" w:rsidR="00D5192C" w:rsidRPr="009E0CFB" w:rsidRDefault="00D5192C" w:rsidP="008947FB">
      <w:pPr>
        <w:rPr>
          <w:rFonts w:ascii="Arial" w:hAnsi="Arial" w:cs="Arial"/>
          <w:color w:val="FF0000"/>
          <w:sz w:val="22"/>
          <w:szCs w:val="22"/>
          <w:lang w:val="en-GB"/>
        </w:rPr>
      </w:pPr>
    </w:p>
    <w:p w14:paraId="231E11A8" w14:textId="5C373E11" w:rsidR="00074A0A" w:rsidRDefault="002A5623">
      <w:pPr>
        <w:rPr>
          <w:rFonts w:ascii="Arial" w:hAnsi="Arial" w:cs="Arial"/>
          <w:sz w:val="22"/>
          <w:szCs w:val="24"/>
          <w:u w:val="single"/>
          <w:lang w:val="en-GB"/>
        </w:rPr>
      </w:pPr>
      <w:r w:rsidRPr="002A5623">
        <w:rPr>
          <w:rFonts w:ascii="Arial" w:hAnsi="Arial" w:cs="Arial"/>
          <w:noProof/>
          <w:sz w:val="22"/>
          <w:szCs w:val="24"/>
          <w:lang w:val="en-GB"/>
        </w:rPr>
        <w:drawing>
          <wp:inline distT="0" distB="0" distL="0" distR="0" wp14:anchorId="1D883A26" wp14:editId="45D3BFB5">
            <wp:extent cx="4513046" cy="2545080"/>
            <wp:effectExtent l="0" t="0" r="1905"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28644" cy="2553877"/>
                    </a:xfrm>
                    <a:prstGeom prst="rect">
                      <a:avLst/>
                    </a:prstGeom>
                    <a:noFill/>
                  </pic:spPr>
                </pic:pic>
              </a:graphicData>
            </a:graphic>
          </wp:inline>
        </w:drawing>
      </w:r>
      <w:r w:rsidR="00D96316" w:rsidRPr="00D96316">
        <w:rPr>
          <w:rFonts w:ascii="Arial" w:hAnsi="Arial" w:cs="Arial"/>
          <w:sz w:val="22"/>
          <w:szCs w:val="24"/>
          <w:u w:val="single"/>
          <w:lang w:val="en-GB"/>
        </w:rPr>
        <w:t xml:space="preserve"> </w:t>
      </w:r>
      <w:r w:rsidR="00D96316" w:rsidRPr="00D96316">
        <w:rPr>
          <w:noProof/>
        </w:rPr>
        <w:drawing>
          <wp:inline distT="0" distB="0" distL="0" distR="0" wp14:anchorId="5EAA2BE2" wp14:editId="5F0BA148">
            <wp:extent cx="1280160" cy="6400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p>
    <w:p w14:paraId="6F8CCCA2" w14:textId="77777777" w:rsidR="002A5623" w:rsidRDefault="002A5623" w:rsidP="00DA5436">
      <w:pPr>
        <w:jc w:val="both"/>
        <w:rPr>
          <w:rFonts w:ascii="Arial" w:hAnsi="Arial" w:cs="Arial"/>
          <w:b/>
          <w:sz w:val="22"/>
          <w:szCs w:val="24"/>
          <w:highlight w:val="yellow"/>
          <w:u w:val="single"/>
          <w:lang w:val="en-GB"/>
        </w:rPr>
      </w:pPr>
    </w:p>
    <w:p w14:paraId="3B436DBB" w14:textId="77777777" w:rsidR="002A5623" w:rsidRDefault="002A5623" w:rsidP="00DA5436">
      <w:pPr>
        <w:jc w:val="both"/>
        <w:rPr>
          <w:rFonts w:ascii="Arial" w:hAnsi="Arial" w:cs="Arial"/>
          <w:b/>
          <w:sz w:val="22"/>
          <w:szCs w:val="24"/>
          <w:highlight w:val="yellow"/>
          <w:u w:val="single"/>
          <w:lang w:val="en-GB"/>
        </w:rPr>
      </w:pPr>
    </w:p>
    <w:p w14:paraId="2CD4B21C" w14:textId="47BAD38B" w:rsidR="002A5623" w:rsidRDefault="009252BC" w:rsidP="00DA5436">
      <w:pPr>
        <w:jc w:val="both"/>
        <w:rPr>
          <w:rFonts w:ascii="Arial" w:hAnsi="Arial" w:cs="Arial"/>
          <w:bCs/>
          <w:noProof/>
          <w:sz w:val="22"/>
          <w:szCs w:val="24"/>
          <w:lang w:val="en-GB"/>
        </w:rPr>
      </w:pPr>
      <w:r w:rsidRPr="009252BC">
        <w:rPr>
          <w:rFonts w:ascii="Arial" w:hAnsi="Arial" w:cs="Arial"/>
          <w:bCs/>
          <w:noProof/>
          <w:sz w:val="22"/>
          <w:szCs w:val="24"/>
          <w:lang w:val="en-GB"/>
        </w:rPr>
        <w:drawing>
          <wp:inline distT="0" distB="0" distL="0" distR="0" wp14:anchorId="65525B1A" wp14:editId="2A2468E2">
            <wp:extent cx="4772972" cy="2922814"/>
            <wp:effectExtent l="0" t="0" r="889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790470" cy="2933529"/>
                    </a:xfrm>
                    <a:prstGeom prst="rect">
                      <a:avLst/>
                    </a:prstGeom>
                  </pic:spPr>
                </pic:pic>
              </a:graphicData>
            </a:graphic>
          </wp:inline>
        </w:drawing>
      </w:r>
    </w:p>
    <w:p w14:paraId="678D6C78" w14:textId="77777777" w:rsidR="001007B2" w:rsidRDefault="001007B2" w:rsidP="00DA5436">
      <w:pPr>
        <w:jc w:val="both"/>
        <w:rPr>
          <w:rFonts w:ascii="Arial" w:hAnsi="Arial" w:cs="Arial"/>
          <w:bCs/>
          <w:noProof/>
          <w:sz w:val="22"/>
          <w:szCs w:val="24"/>
          <w:lang w:val="en-GB"/>
        </w:rPr>
      </w:pPr>
    </w:p>
    <w:p w14:paraId="050181ED" w14:textId="77777777" w:rsidR="001007B2" w:rsidRDefault="001007B2" w:rsidP="00DA5436">
      <w:pPr>
        <w:jc w:val="both"/>
        <w:rPr>
          <w:rFonts w:ascii="Arial" w:hAnsi="Arial" w:cs="Arial"/>
          <w:bCs/>
          <w:noProof/>
          <w:sz w:val="22"/>
          <w:szCs w:val="24"/>
          <w:lang w:val="en-GB"/>
        </w:rPr>
      </w:pPr>
    </w:p>
    <w:p w14:paraId="6B4DB351" w14:textId="77777777" w:rsidR="001007B2" w:rsidRDefault="001007B2" w:rsidP="00DA5436">
      <w:pPr>
        <w:jc w:val="both"/>
        <w:rPr>
          <w:rFonts w:ascii="Arial" w:hAnsi="Arial" w:cs="Arial"/>
          <w:bCs/>
          <w:noProof/>
          <w:sz w:val="22"/>
          <w:szCs w:val="24"/>
          <w:lang w:val="en-GB"/>
        </w:rPr>
      </w:pPr>
    </w:p>
    <w:p w14:paraId="558D97AB" w14:textId="77777777" w:rsidR="001007B2" w:rsidRDefault="001007B2" w:rsidP="00DA5436">
      <w:pPr>
        <w:jc w:val="both"/>
        <w:rPr>
          <w:rFonts w:ascii="Arial" w:hAnsi="Arial" w:cs="Arial"/>
          <w:bCs/>
          <w:noProof/>
          <w:sz w:val="22"/>
          <w:szCs w:val="24"/>
          <w:lang w:val="en-GB"/>
        </w:rPr>
      </w:pPr>
    </w:p>
    <w:p w14:paraId="27B7AD42" w14:textId="77777777" w:rsidR="001007B2" w:rsidRDefault="001007B2" w:rsidP="00DA5436">
      <w:pPr>
        <w:jc w:val="both"/>
        <w:rPr>
          <w:rFonts w:ascii="Arial" w:hAnsi="Arial" w:cs="Arial"/>
          <w:bCs/>
          <w:noProof/>
          <w:sz w:val="22"/>
          <w:szCs w:val="24"/>
          <w:lang w:val="en-GB"/>
        </w:rPr>
      </w:pPr>
    </w:p>
    <w:p w14:paraId="26A4B66C" w14:textId="362EFED0" w:rsidR="006E2E69" w:rsidRPr="009D54F3" w:rsidRDefault="00DB6D16" w:rsidP="00DA5436">
      <w:pPr>
        <w:jc w:val="both"/>
        <w:rPr>
          <w:rStyle w:val="Heading1Char"/>
        </w:rPr>
      </w:pPr>
      <w:bookmarkStart w:id="137" w:name="_Toc85627566"/>
      <w:r w:rsidRPr="009D54F3">
        <w:rPr>
          <w:rStyle w:val="Heading1Char"/>
        </w:rPr>
        <w:t xml:space="preserve">5.4 </w:t>
      </w:r>
      <w:r w:rsidR="00DA5436" w:rsidRPr="008947FB">
        <w:rPr>
          <w:rStyle w:val="Heading1Char"/>
        </w:rPr>
        <w:t>Subsea Exploration and Appraisal (E&amp;A) well decommissioning costs</w:t>
      </w:r>
      <w:bookmarkEnd w:id="137"/>
      <w:r w:rsidR="00DA5436" w:rsidRPr="008947FB">
        <w:rPr>
          <w:rStyle w:val="Heading1Char"/>
        </w:rPr>
        <w:t xml:space="preserve"> </w:t>
      </w:r>
    </w:p>
    <w:p w14:paraId="15E00B81" w14:textId="43F23C1E" w:rsidR="00863C30" w:rsidRDefault="00863C30" w:rsidP="00863C30">
      <w:pPr>
        <w:jc w:val="both"/>
        <w:rPr>
          <w:rFonts w:ascii="Arial" w:hAnsi="Arial" w:cs="Arial"/>
          <w:sz w:val="22"/>
          <w:lang w:val="en-GB"/>
        </w:rPr>
      </w:pPr>
      <w:r w:rsidRPr="00863C30">
        <w:rPr>
          <w:rFonts w:ascii="Arial" w:hAnsi="Arial" w:cs="Arial"/>
          <w:sz w:val="22"/>
          <w:lang w:val="en-GB"/>
        </w:rPr>
        <w:t xml:space="preserve">Suspended E&amp;A wells typically have lower decommissioning costs than subsea producers and injectors, due to the absence of completion tubing and/or a simplified casing scheme. Cost data for these wells are therefore analysed separately </w:t>
      </w:r>
      <w:r w:rsidR="00544688">
        <w:rPr>
          <w:rFonts w:ascii="Arial" w:hAnsi="Arial" w:cs="Arial"/>
          <w:sz w:val="22"/>
          <w:lang w:val="en-GB"/>
        </w:rPr>
        <w:t>from</w:t>
      </w:r>
      <w:r w:rsidRPr="00863C30">
        <w:rPr>
          <w:rFonts w:ascii="Arial" w:hAnsi="Arial" w:cs="Arial"/>
          <w:sz w:val="22"/>
          <w:lang w:val="en-GB"/>
        </w:rPr>
        <w:t xml:space="preserve"> development wells.</w:t>
      </w:r>
    </w:p>
    <w:p w14:paraId="0D84B727" w14:textId="77777777" w:rsidR="00863C30" w:rsidRPr="00863C30" w:rsidRDefault="00863C30" w:rsidP="00863C30">
      <w:pPr>
        <w:jc w:val="both"/>
        <w:rPr>
          <w:rFonts w:ascii="Arial" w:hAnsi="Arial" w:cs="Arial"/>
          <w:sz w:val="22"/>
          <w:lang w:val="en-GB"/>
        </w:rPr>
      </w:pPr>
    </w:p>
    <w:p w14:paraId="4AB57B43" w14:textId="3EF91A79" w:rsidR="00863C30" w:rsidRDefault="00863C30" w:rsidP="00863C30">
      <w:pPr>
        <w:jc w:val="both"/>
        <w:rPr>
          <w:rFonts w:ascii="Arial" w:hAnsi="Arial" w:cs="Arial"/>
          <w:sz w:val="22"/>
          <w:lang w:val="en-GB"/>
        </w:rPr>
      </w:pPr>
      <w:r w:rsidRPr="00863C30">
        <w:rPr>
          <w:rFonts w:ascii="Arial" w:hAnsi="Arial" w:cs="Arial"/>
          <w:sz w:val="22"/>
          <w:lang w:val="en-GB"/>
        </w:rPr>
        <w:t xml:space="preserve">The costs reflected here represent the full </w:t>
      </w:r>
      <w:r w:rsidR="007571E0">
        <w:rPr>
          <w:rFonts w:ascii="Arial" w:hAnsi="Arial" w:cs="Arial"/>
          <w:sz w:val="22"/>
          <w:lang w:val="en-GB"/>
        </w:rPr>
        <w:t>decommissioning</w:t>
      </w:r>
      <w:r w:rsidR="007571E0" w:rsidRPr="00863C30">
        <w:rPr>
          <w:rFonts w:ascii="Arial" w:hAnsi="Arial" w:cs="Arial"/>
          <w:sz w:val="22"/>
          <w:lang w:val="en-GB"/>
        </w:rPr>
        <w:t xml:space="preserve"> </w:t>
      </w:r>
      <w:r w:rsidRPr="00863C30">
        <w:rPr>
          <w:rFonts w:ascii="Arial" w:hAnsi="Arial" w:cs="Arial"/>
          <w:sz w:val="22"/>
          <w:lang w:val="en-GB"/>
        </w:rPr>
        <w:t xml:space="preserve">of a well </w:t>
      </w:r>
      <w:proofErr w:type="gramStart"/>
      <w:r w:rsidRPr="00863C30">
        <w:rPr>
          <w:rFonts w:ascii="Arial" w:hAnsi="Arial" w:cs="Arial"/>
          <w:sz w:val="22"/>
          <w:lang w:val="en-GB"/>
        </w:rPr>
        <w:t>i.e.</w:t>
      </w:r>
      <w:proofErr w:type="gramEnd"/>
      <w:r w:rsidRPr="00863C30">
        <w:rPr>
          <w:rFonts w:ascii="Arial" w:hAnsi="Arial" w:cs="Arial"/>
          <w:sz w:val="22"/>
          <w:lang w:val="en-GB"/>
        </w:rPr>
        <w:t xml:space="preserve"> ‘Type 0’ wells which have negligible remaining scopes are not included.</w:t>
      </w:r>
    </w:p>
    <w:p w14:paraId="0BB2A087" w14:textId="77777777" w:rsidR="008E772B" w:rsidRDefault="008E772B" w:rsidP="00863C30">
      <w:pPr>
        <w:jc w:val="both"/>
        <w:rPr>
          <w:rFonts w:ascii="Arial" w:hAnsi="Arial" w:cs="Arial"/>
          <w:sz w:val="22"/>
          <w:lang w:val="en-GB"/>
        </w:rPr>
      </w:pPr>
    </w:p>
    <w:p w14:paraId="49888D74" w14:textId="34A267FA" w:rsidR="008E772B" w:rsidRDefault="008F1648" w:rsidP="00276E3E">
      <w:pPr>
        <w:jc w:val="both"/>
        <w:rPr>
          <w:rFonts w:ascii="Arial" w:hAnsi="Arial" w:cs="Arial"/>
          <w:sz w:val="22"/>
          <w:lang w:val="en-GB"/>
        </w:rPr>
      </w:pPr>
      <w:r>
        <w:rPr>
          <w:rFonts w:ascii="Arial" w:hAnsi="Arial" w:cs="Arial"/>
          <w:sz w:val="22"/>
          <w:lang w:val="en-GB"/>
        </w:rPr>
        <w:t xml:space="preserve">An increased focus on decommissioning of suspended E&amp;A wells in line with the OGA </w:t>
      </w:r>
      <w:r w:rsidR="0098769C">
        <w:rPr>
          <w:rFonts w:ascii="Arial" w:hAnsi="Arial" w:cs="Arial"/>
          <w:sz w:val="22"/>
          <w:lang w:val="en-GB"/>
        </w:rPr>
        <w:t xml:space="preserve">suspended </w:t>
      </w:r>
      <w:r w:rsidR="009B004E">
        <w:rPr>
          <w:rFonts w:ascii="Arial" w:hAnsi="Arial" w:cs="Arial"/>
          <w:sz w:val="22"/>
          <w:lang w:val="en-GB"/>
        </w:rPr>
        <w:t xml:space="preserve">inactive </w:t>
      </w:r>
      <w:r w:rsidR="0098769C">
        <w:rPr>
          <w:rFonts w:ascii="Arial" w:hAnsi="Arial" w:cs="Arial"/>
          <w:sz w:val="22"/>
          <w:lang w:val="en-GB"/>
        </w:rPr>
        <w:t>well guidance</w:t>
      </w:r>
      <w:r w:rsidR="009B004E">
        <w:rPr>
          <w:rStyle w:val="FootnoteReference"/>
          <w:rFonts w:ascii="Arial" w:hAnsi="Arial" w:cs="Arial"/>
          <w:sz w:val="22"/>
          <w:lang w:val="en-GB"/>
        </w:rPr>
        <w:footnoteReference w:id="8"/>
      </w:r>
      <w:r w:rsidR="00276E3E">
        <w:rPr>
          <w:rFonts w:ascii="Arial" w:hAnsi="Arial" w:cs="Arial"/>
          <w:sz w:val="22"/>
          <w:lang w:val="en-GB"/>
        </w:rPr>
        <w:t xml:space="preserve"> </w:t>
      </w:r>
      <w:r w:rsidR="00CF2D52">
        <w:rPr>
          <w:rFonts w:ascii="Arial" w:hAnsi="Arial" w:cs="Arial"/>
          <w:sz w:val="22"/>
          <w:lang w:val="en-GB"/>
        </w:rPr>
        <w:t>has been initiated</w:t>
      </w:r>
      <w:r w:rsidR="00F41CF0">
        <w:rPr>
          <w:rFonts w:ascii="Arial" w:hAnsi="Arial" w:cs="Arial"/>
          <w:sz w:val="22"/>
          <w:lang w:val="en-GB"/>
        </w:rPr>
        <w:t>. In support of this</w:t>
      </w:r>
      <w:r w:rsidR="00D47A77">
        <w:rPr>
          <w:rFonts w:ascii="Arial" w:hAnsi="Arial" w:cs="Arial"/>
          <w:sz w:val="22"/>
          <w:lang w:val="en-GB"/>
        </w:rPr>
        <w:t>,</w:t>
      </w:r>
      <w:r w:rsidR="00F41CF0">
        <w:rPr>
          <w:rFonts w:ascii="Arial" w:hAnsi="Arial" w:cs="Arial"/>
          <w:sz w:val="22"/>
          <w:lang w:val="en-GB"/>
        </w:rPr>
        <w:t xml:space="preserve"> adoption of campaign</w:t>
      </w:r>
      <w:r w:rsidR="00D47A77">
        <w:rPr>
          <w:rFonts w:ascii="Arial" w:hAnsi="Arial" w:cs="Arial"/>
          <w:sz w:val="22"/>
          <w:lang w:val="en-GB"/>
        </w:rPr>
        <w:t xml:space="preserve">s is </w:t>
      </w:r>
      <w:r w:rsidR="00C678AC">
        <w:rPr>
          <w:rFonts w:ascii="Arial" w:hAnsi="Arial" w:cs="Arial"/>
          <w:sz w:val="22"/>
          <w:lang w:val="en-GB"/>
        </w:rPr>
        <w:t xml:space="preserve">actively </w:t>
      </w:r>
      <w:r w:rsidR="00D47A77">
        <w:rPr>
          <w:rFonts w:ascii="Arial" w:hAnsi="Arial" w:cs="Arial"/>
          <w:sz w:val="22"/>
          <w:lang w:val="en-GB"/>
        </w:rPr>
        <w:t>encouraged and promoted</w:t>
      </w:r>
      <w:r w:rsidR="00563515">
        <w:rPr>
          <w:rFonts w:ascii="Arial" w:hAnsi="Arial" w:cs="Arial"/>
          <w:sz w:val="22"/>
          <w:lang w:val="en-GB"/>
        </w:rPr>
        <w:t xml:space="preserve"> as a vehicle for driving cost efficient outcomes and performance improvement</w:t>
      </w:r>
      <w:r w:rsidR="00D47A77">
        <w:rPr>
          <w:rFonts w:ascii="Arial" w:hAnsi="Arial" w:cs="Arial"/>
          <w:sz w:val="22"/>
          <w:lang w:val="en-GB"/>
        </w:rPr>
        <w:t xml:space="preserve">. </w:t>
      </w:r>
      <w:r w:rsidR="00CB05B6">
        <w:rPr>
          <w:rFonts w:ascii="Arial" w:hAnsi="Arial" w:cs="Arial"/>
          <w:sz w:val="22"/>
          <w:lang w:val="en-GB"/>
        </w:rPr>
        <w:t xml:space="preserve"> </w:t>
      </w:r>
    </w:p>
    <w:p w14:paraId="6C39214F" w14:textId="77777777" w:rsidR="00E63C6B" w:rsidRDefault="00E63C6B" w:rsidP="00863C30">
      <w:pPr>
        <w:jc w:val="both"/>
        <w:rPr>
          <w:rFonts w:ascii="Arial" w:hAnsi="Arial" w:cs="Arial"/>
          <w:sz w:val="22"/>
          <w:lang w:val="en-GB"/>
        </w:rPr>
      </w:pPr>
    </w:p>
    <w:p w14:paraId="635635E6" w14:textId="2F4683AC" w:rsidR="00DA5436" w:rsidRPr="00C40698" w:rsidRDefault="00DA5436" w:rsidP="00DA5436">
      <w:pPr>
        <w:jc w:val="both"/>
        <w:rPr>
          <w:rFonts w:ascii="Arial" w:hAnsi="Arial" w:cs="Arial"/>
          <w:b/>
          <w:sz w:val="22"/>
          <w:szCs w:val="24"/>
          <w:u w:val="single"/>
          <w:lang w:val="en-GB"/>
        </w:rPr>
      </w:pPr>
      <w:r w:rsidRPr="00CB165C">
        <w:rPr>
          <w:rFonts w:ascii="Arial" w:hAnsi="Arial" w:cs="Arial"/>
          <w:b/>
          <w:sz w:val="22"/>
          <w:szCs w:val="24"/>
          <w:u w:val="single"/>
          <w:lang w:val="en-GB"/>
        </w:rPr>
        <w:t>NNS &amp; CNS</w:t>
      </w:r>
    </w:p>
    <w:p w14:paraId="62E72DD1" w14:textId="77777777" w:rsidR="00863C30" w:rsidRDefault="00863C30" w:rsidP="00861B23">
      <w:pPr>
        <w:jc w:val="both"/>
        <w:rPr>
          <w:rFonts w:ascii="Arial" w:hAnsi="Arial" w:cs="Arial"/>
          <w:sz w:val="22"/>
          <w:lang w:val="en-GB"/>
        </w:rPr>
      </w:pPr>
    </w:p>
    <w:p w14:paraId="2B608423" w14:textId="75796A0C" w:rsidR="00861B23" w:rsidRDefault="00861B23" w:rsidP="00861B23">
      <w:pPr>
        <w:jc w:val="both"/>
        <w:rPr>
          <w:rFonts w:ascii="Arial" w:hAnsi="Arial"/>
          <w:b/>
          <w:sz w:val="22"/>
          <w:szCs w:val="22"/>
          <w:lang w:val="en-GB"/>
        </w:rPr>
      </w:pPr>
      <w:r>
        <w:rPr>
          <w:rFonts w:ascii="Arial" w:hAnsi="Arial" w:cs="Arial"/>
          <w:sz w:val="22"/>
          <w:lang w:val="en-GB"/>
        </w:rPr>
        <w:t xml:space="preserve">Sample Size: </w:t>
      </w:r>
      <w:r w:rsidR="00D85C7F">
        <w:rPr>
          <w:rFonts w:ascii="Arial" w:hAnsi="Arial" w:cs="Arial"/>
          <w:sz w:val="22"/>
          <w:lang w:val="en-GB"/>
        </w:rPr>
        <w:t>11-20</w:t>
      </w:r>
    </w:p>
    <w:p w14:paraId="7287EB2E" w14:textId="77777777" w:rsidR="00DA5436" w:rsidRDefault="00DA5436" w:rsidP="00074A0A">
      <w:pPr>
        <w:jc w:val="both"/>
        <w:rPr>
          <w:rFonts w:ascii="Arial" w:hAnsi="Arial"/>
          <w:b/>
          <w:sz w:val="22"/>
          <w:szCs w:val="22"/>
          <w:lang w:val="en-GB"/>
        </w:rPr>
      </w:pPr>
    </w:p>
    <w:p w14:paraId="1D08B3D0" w14:textId="1555BD4B" w:rsidR="00074A0A" w:rsidRPr="009E0CFB" w:rsidRDefault="00074A0A" w:rsidP="00074A0A">
      <w:pPr>
        <w:jc w:val="both"/>
        <w:rPr>
          <w:rFonts w:ascii="Arial" w:hAnsi="Arial" w:cs="Arial"/>
          <w:sz w:val="22"/>
          <w:szCs w:val="22"/>
          <w:lang w:val="en-GB"/>
        </w:rPr>
      </w:pPr>
      <w:r w:rsidRPr="009E0CFB">
        <w:rPr>
          <w:rFonts w:ascii="Arial" w:hAnsi="Arial"/>
          <w:b/>
          <w:sz w:val="22"/>
          <w:szCs w:val="22"/>
          <w:lang w:val="en-GB"/>
        </w:rPr>
        <w:t xml:space="preserve">Figure </w:t>
      </w:r>
      <w:r>
        <w:rPr>
          <w:rFonts w:ascii="Arial" w:hAnsi="Arial"/>
          <w:b/>
          <w:sz w:val="22"/>
          <w:szCs w:val="22"/>
          <w:lang w:val="en-GB"/>
        </w:rPr>
        <w:t>1</w:t>
      </w:r>
      <w:r w:rsidR="00F37312">
        <w:rPr>
          <w:rFonts w:ascii="Arial" w:hAnsi="Arial"/>
          <w:b/>
          <w:sz w:val="22"/>
          <w:szCs w:val="22"/>
          <w:lang w:val="en-GB"/>
        </w:rPr>
        <w:t>6</w:t>
      </w:r>
      <w:r w:rsidRPr="009E0CFB">
        <w:rPr>
          <w:rFonts w:ascii="Arial" w:hAnsi="Arial"/>
          <w:b/>
          <w:sz w:val="22"/>
          <w:szCs w:val="22"/>
          <w:lang w:val="en-GB"/>
        </w:rPr>
        <w:t>: Subsea</w:t>
      </w:r>
      <w:r>
        <w:rPr>
          <w:rFonts w:ascii="Arial" w:hAnsi="Arial"/>
          <w:b/>
          <w:sz w:val="22"/>
          <w:szCs w:val="22"/>
          <w:lang w:val="en-GB"/>
        </w:rPr>
        <w:t xml:space="preserve"> E&amp;A </w:t>
      </w:r>
      <w:r w:rsidRPr="009E0CFB">
        <w:rPr>
          <w:rFonts w:ascii="Arial" w:hAnsi="Arial"/>
          <w:b/>
          <w:sz w:val="22"/>
          <w:szCs w:val="22"/>
          <w:lang w:val="en-GB"/>
        </w:rPr>
        <w:t xml:space="preserve">well </w:t>
      </w:r>
      <w:r>
        <w:rPr>
          <w:rFonts w:ascii="Arial" w:hAnsi="Arial"/>
          <w:b/>
          <w:sz w:val="22"/>
          <w:szCs w:val="22"/>
          <w:lang w:val="en-GB"/>
        </w:rPr>
        <w:t>decommissioning</w:t>
      </w:r>
      <w:r w:rsidRPr="009E0CFB">
        <w:rPr>
          <w:rFonts w:ascii="Arial" w:hAnsi="Arial"/>
          <w:b/>
          <w:sz w:val="22"/>
          <w:szCs w:val="22"/>
          <w:lang w:val="en-GB"/>
        </w:rPr>
        <w:t xml:space="preserve"> cost distribution: NNS &amp; CNS</w:t>
      </w:r>
    </w:p>
    <w:p w14:paraId="2C595ABF" w14:textId="416B9E1F" w:rsidR="00451898" w:rsidRDefault="00451898" w:rsidP="007834B0">
      <w:pPr>
        <w:jc w:val="center"/>
        <w:rPr>
          <w:rFonts w:ascii="Arial" w:hAnsi="Arial" w:cs="Arial"/>
          <w:sz w:val="22"/>
          <w:szCs w:val="22"/>
          <w:lang w:val="en-GB"/>
        </w:rPr>
      </w:pPr>
    </w:p>
    <w:p w14:paraId="1EE1A487" w14:textId="77777777" w:rsidR="00074A0A" w:rsidRDefault="00074A0A" w:rsidP="00074A0A">
      <w:pPr>
        <w:rPr>
          <w:rFonts w:ascii="Arial" w:hAnsi="Arial" w:cs="Arial"/>
          <w:sz w:val="22"/>
          <w:szCs w:val="22"/>
          <w:lang w:val="en-GB"/>
        </w:rPr>
      </w:pPr>
    </w:p>
    <w:p w14:paraId="32068996" w14:textId="77777777" w:rsidR="007834B0" w:rsidRDefault="00917417">
      <w:pPr>
        <w:rPr>
          <w:rFonts w:ascii="Arial" w:hAnsi="Arial"/>
          <w:b/>
          <w:sz w:val="22"/>
          <w:szCs w:val="22"/>
          <w:lang w:val="en-GB"/>
        </w:rPr>
      </w:pPr>
      <w:r>
        <w:rPr>
          <w:rFonts w:ascii="Arial" w:hAnsi="Arial"/>
          <w:b/>
          <w:noProof/>
          <w:sz w:val="22"/>
          <w:szCs w:val="22"/>
          <w:lang w:val="en-GB"/>
        </w:rPr>
        <w:drawing>
          <wp:inline distT="0" distB="0" distL="0" distR="0" wp14:anchorId="2A604A8F" wp14:editId="197BE0C9">
            <wp:extent cx="4738417" cy="2758440"/>
            <wp:effectExtent l="0" t="0" r="508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97978" cy="2793113"/>
                    </a:xfrm>
                    <a:prstGeom prst="rect">
                      <a:avLst/>
                    </a:prstGeom>
                    <a:noFill/>
                  </pic:spPr>
                </pic:pic>
              </a:graphicData>
            </a:graphic>
          </wp:inline>
        </w:drawing>
      </w:r>
      <w:r w:rsidR="00064694" w:rsidRPr="00064694">
        <w:rPr>
          <w:rFonts w:ascii="Arial" w:hAnsi="Arial"/>
          <w:b/>
          <w:sz w:val="22"/>
          <w:szCs w:val="22"/>
          <w:lang w:val="en-GB"/>
        </w:rPr>
        <w:t xml:space="preserve"> </w:t>
      </w:r>
      <w:r w:rsidR="00BC7DB4" w:rsidRPr="00BC7DB4">
        <w:rPr>
          <w:noProof/>
        </w:rPr>
        <w:drawing>
          <wp:inline distT="0" distB="0" distL="0" distR="0" wp14:anchorId="2AEA0F2B" wp14:editId="42FAF8CE">
            <wp:extent cx="1280160" cy="64008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p>
    <w:p w14:paraId="04ED37BB" w14:textId="77777777" w:rsidR="007834B0" w:rsidRDefault="007834B0">
      <w:pPr>
        <w:rPr>
          <w:rFonts w:ascii="Arial" w:hAnsi="Arial"/>
          <w:b/>
          <w:sz w:val="22"/>
          <w:szCs w:val="22"/>
          <w:lang w:val="en-GB"/>
        </w:rPr>
      </w:pPr>
    </w:p>
    <w:p w14:paraId="5F30594B" w14:textId="541EC477" w:rsidR="00512996" w:rsidRDefault="0097050E">
      <w:pPr>
        <w:rPr>
          <w:rFonts w:ascii="Arial" w:hAnsi="Arial"/>
          <w:b/>
          <w:sz w:val="22"/>
          <w:szCs w:val="22"/>
          <w:lang w:val="en-GB"/>
        </w:rPr>
      </w:pPr>
      <w:r w:rsidRPr="0097050E">
        <w:rPr>
          <w:rFonts w:ascii="Arial" w:hAnsi="Arial"/>
          <w:b/>
          <w:noProof/>
          <w:sz w:val="22"/>
          <w:szCs w:val="22"/>
          <w:lang w:val="en-GB"/>
        </w:rPr>
        <w:drawing>
          <wp:inline distT="0" distB="0" distL="0" distR="0" wp14:anchorId="3B63DF06" wp14:editId="49778C99">
            <wp:extent cx="4639986" cy="2856589"/>
            <wp:effectExtent l="0" t="0" r="8255"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671658" cy="2876087"/>
                    </a:xfrm>
                    <a:prstGeom prst="rect">
                      <a:avLst/>
                    </a:prstGeom>
                  </pic:spPr>
                </pic:pic>
              </a:graphicData>
            </a:graphic>
          </wp:inline>
        </w:drawing>
      </w:r>
      <w:r w:rsidR="00512996">
        <w:rPr>
          <w:rFonts w:ascii="Arial" w:hAnsi="Arial"/>
          <w:b/>
          <w:sz w:val="22"/>
          <w:szCs w:val="22"/>
          <w:lang w:val="en-GB"/>
        </w:rPr>
        <w:br w:type="page"/>
      </w:r>
    </w:p>
    <w:p w14:paraId="690CFFA8" w14:textId="69D57FEC" w:rsidR="00234F0F" w:rsidRPr="00C40698" w:rsidRDefault="00234F0F" w:rsidP="00234F0F">
      <w:pPr>
        <w:jc w:val="both"/>
        <w:rPr>
          <w:rFonts w:ascii="Arial" w:hAnsi="Arial" w:cs="Arial"/>
          <w:b/>
          <w:sz w:val="22"/>
          <w:szCs w:val="24"/>
          <w:u w:val="single"/>
          <w:lang w:val="en-GB"/>
        </w:rPr>
      </w:pPr>
      <w:r>
        <w:rPr>
          <w:rFonts w:ascii="Arial" w:hAnsi="Arial" w:cs="Arial"/>
          <w:b/>
          <w:sz w:val="22"/>
          <w:szCs w:val="24"/>
          <w:u w:val="single"/>
          <w:lang w:val="en-GB"/>
        </w:rPr>
        <w:t>S</w:t>
      </w:r>
      <w:r w:rsidRPr="00C40698">
        <w:rPr>
          <w:rFonts w:ascii="Arial" w:hAnsi="Arial" w:cs="Arial"/>
          <w:b/>
          <w:sz w:val="22"/>
          <w:szCs w:val="24"/>
          <w:u w:val="single"/>
          <w:lang w:val="en-GB"/>
        </w:rPr>
        <w:t xml:space="preserve">NS &amp; </w:t>
      </w:r>
      <w:r>
        <w:rPr>
          <w:rFonts w:ascii="Arial" w:hAnsi="Arial" w:cs="Arial"/>
          <w:b/>
          <w:sz w:val="22"/>
          <w:szCs w:val="24"/>
          <w:u w:val="single"/>
          <w:lang w:val="en-GB"/>
        </w:rPr>
        <w:t>EI</w:t>
      </w:r>
      <w:r w:rsidRPr="00C40698">
        <w:rPr>
          <w:rFonts w:ascii="Arial" w:hAnsi="Arial" w:cs="Arial"/>
          <w:b/>
          <w:sz w:val="22"/>
          <w:szCs w:val="24"/>
          <w:u w:val="single"/>
          <w:lang w:val="en-GB"/>
        </w:rPr>
        <w:t>S</w:t>
      </w:r>
    </w:p>
    <w:p w14:paraId="32B8B436" w14:textId="77777777" w:rsidR="00234F0F" w:rsidRDefault="00234F0F" w:rsidP="00234F0F">
      <w:pPr>
        <w:jc w:val="both"/>
        <w:rPr>
          <w:rFonts w:ascii="Arial" w:hAnsi="Arial" w:cs="Arial"/>
          <w:sz w:val="22"/>
          <w:szCs w:val="24"/>
          <w:lang w:val="en-GB"/>
        </w:rPr>
      </w:pPr>
    </w:p>
    <w:p w14:paraId="086E93D3" w14:textId="3A0982AE" w:rsidR="00F37B5C" w:rsidRDefault="00F37B5C" w:rsidP="00F37B5C">
      <w:pPr>
        <w:jc w:val="both"/>
        <w:rPr>
          <w:rFonts w:ascii="Arial" w:hAnsi="Arial"/>
          <w:b/>
          <w:sz w:val="22"/>
          <w:szCs w:val="22"/>
          <w:lang w:val="en-GB"/>
        </w:rPr>
      </w:pPr>
      <w:r>
        <w:rPr>
          <w:rFonts w:ascii="Arial" w:hAnsi="Arial" w:cs="Arial"/>
          <w:sz w:val="22"/>
          <w:lang w:val="en-GB"/>
        </w:rPr>
        <w:t xml:space="preserve">Sample Size: </w:t>
      </w:r>
      <w:r w:rsidR="007F5A02" w:rsidRPr="007F5A02">
        <w:rPr>
          <w:rFonts w:ascii="Arial" w:hAnsi="Arial" w:cs="Arial"/>
          <w:sz w:val="22"/>
          <w:lang w:val="en-GB"/>
        </w:rPr>
        <w:t>5-10</w:t>
      </w:r>
    </w:p>
    <w:p w14:paraId="30F66E27" w14:textId="77777777" w:rsidR="00234F0F" w:rsidRDefault="00234F0F" w:rsidP="00074A0A">
      <w:pPr>
        <w:jc w:val="both"/>
        <w:rPr>
          <w:rFonts w:ascii="Arial" w:hAnsi="Arial"/>
          <w:b/>
          <w:sz w:val="22"/>
          <w:szCs w:val="22"/>
          <w:lang w:val="en-GB"/>
        </w:rPr>
      </w:pPr>
    </w:p>
    <w:p w14:paraId="40555513" w14:textId="0FAE6762" w:rsidR="00074A0A" w:rsidRPr="009E0CFB" w:rsidRDefault="00074A0A" w:rsidP="00074A0A">
      <w:pPr>
        <w:jc w:val="both"/>
        <w:rPr>
          <w:rFonts w:ascii="Arial" w:hAnsi="Arial" w:cs="Arial"/>
          <w:sz w:val="22"/>
          <w:szCs w:val="22"/>
          <w:lang w:val="en-GB"/>
        </w:rPr>
      </w:pPr>
      <w:r w:rsidRPr="009E0CFB">
        <w:rPr>
          <w:rFonts w:ascii="Arial" w:hAnsi="Arial"/>
          <w:b/>
          <w:sz w:val="22"/>
          <w:szCs w:val="22"/>
          <w:lang w:val="en-GB"/>
        </w:rPr>
        <w:t xml:space="preserve">Figure </w:t>
      </w:r>
      <w:r>
        <w:rPr>
          <w:rFonts w:ascii="Arial" w:hAnsi="Arial"/>
          <w:b/>
          <w:sz w:val="22"/>
          <w:szCs w:val="22"/>
          <w:lang w:val="en-GB"/>
        </w:rPr>
        <w:t>1</w:t>
      </w:r>
      <w:r w:rsidR="00F37312">
        <w:rPr>
          <w:rFonts w:ascii="Arial" w:hAnsi="Arial"/>
          <w:b/>
          <w:sz w:val="22"/>
          <w:szCs w:val="22"/>
          <w:lang w:val="en-GB"/>
        </w:rPr>
        <w:t>7</w:t>
      </w:r>
      <w:r w:rsidRPr="009E0CFB">
        <w:rPr>
          <w:rFonts w:ascii="Arial" w:hAnsi="Arial"/>
          <w:b/>
          <w:sz w:val="22"/>
          <w:szCs w:val="22"/>
          <w:lang w:val="en-GB"/>
        </w:rPr>
        <w:t>: Subsea</w:t>
      </w:r>
      <w:r>
        <w:rPr>
          <w:rFonts w:ascii="Arial" w:hAnsi="Arial"/>
          <w:b/>
          <w:sz w:val="22"/>
          <w:szCs w:val="22"/>
          <w:lang w:val="en-GB"/>
        </w:rPr>
        <w:t xml:space="preserve"> E&amp;A </w:t>
      </w:r>
      <w:r w:rsidRPr="009E0CFB">
        <w:rPr>
          <w:rFonts w:ascii="Arial" w:hAnsi="Arial"/>
          <w:b/>
          <w:sz w:val="22"/>
          <w:szCs w:val="22"/>
          <w:lang w:val="en-GB"/>
        </w:rPr>
        <w:t xml:space="preserve">well </w:t>
      </w:r>
      <w:r>
        <w:rPr>
          <w:rFonts w:ascii="Arial" w:hAnsi="Arial"/>
          <w:b/>
          <w:sz w:val="22"/>
          <w:szCs w:val="22"/>
          <w:lang w:val="en-GB"/>
        </w:rPr>
        <w:t>decommissioning</w:t>
      </w:r>
      <w:r w:rsidRPr="009E0CFB">
        <w:rPr>
          <w:rFonts w:ascii="Arial" w:hAnsi="Arial"/>
          <w:b/>
          <w:sz w:val="22"/>
          <w:szCs w:val="22"/>
          <w:lang w:val="en-GB"/>
        </w:rPr>
        <w:t xml:space="preserve"> cost distribution: </w:t>
      </w:r>
      <w:r w:rsidR="009249BF">
        <w:rPr>
          <w:rFonts w:ascii="Arial" w:hAnsi="Arial"/>
          <w:b/>
          <w:sz w:val="22"/>
          <w:szCs w:val="22"/>
          <w:lang w:val="en-GB"/>
        </w:rPr>
        <w:t>SNS</w:t>
      </w:r>
      <w:r w:rsidRPr="009E0CFB">
        <w:rPr>
          <w:rFonts w:ascii="Arial" w:hAnsi="Arial"/>
          <w:b/>
          <w:sz w:val="22"/>
          <w:szCs w:val="22"/>
          <w:lang w:val="en-GB"/>
        </w:rPr>
        <w:t xml:space="preserve"> &amp; </w:t>
      </w:r>
      <w:r w:rsidR="009249BF">
        <w:rPr>
          <w:rFonts w:ascii="Arial" w:hAnsi="Arial"/>
          <w:b/>
          <w:sz w:val="22"/>
          <w:szCs w:val="22"/>
          <w:lang w:val="en-GB"/>
        </w:rPr>
        <w:t>EIS</w:t>
      </w:r>
    </w:p>
    <w:p w14:paraId="72C22684" w14:textId="38597C41" w:rsidR="00434DF3" w:rsidRDefault="00434DF3" w:rsidP="00434DF3">
      <w:pPr>
        <w:jc w:val="center"/>
        <w:rPr>
          <w:rFonts w:ascii="Arial" w:hAnsi="Arial" w:cs="Arial"/>
          <w:sz w:val="22"/>
          <w:szCs w:val="22"/>
          <w:lang w:val="en-GB"/>
        </w:rPr>
      </w:pPr>
    </w:p>
    <w:p w14:paraId="031A1462" w14:textId="07EDA541" w:rsidR="002C3CCE" w:rsidRDefault="00184AA8" w:rsidP="00434DF3">
      <w:pPr>
        <w:jc w:val="both"/>
        <w:rPr>
          <w:rFonts w:ascii="Arial" w:hAnsi="Arial" w:cs="Arial"/>
          <w:sz w:val="22"/>
          <w:szCs w:val="22"/>
          <w:lang w:val="en-GB"/>
        </w:rPr>
      </w:pPr>
      <w:r>
        <w:rPr>
          <w:rFonts w:ascii="Arial" w:hAnsi="Arial" w:cs="Arial"/>
          <w:noProof/>
          <w:sz w:val="22"/>
          <w:szCs w:val="22"/>
          <w:lang w:val="en-GB"/>
        </w:rPr>
        <w:drawing>
          <wp:inline distT="0" distB="0" distL="0" distR="0" wp14:anchorId="409BE122" wp14:editId="32D3CB27">
            <wp:extent cx="4691321" cy="27203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24485" cy="2739571"/>
                    </a:xfrm>
                    <a:prstGeom prst="rect">
                      <a:avLst/>
                    </a:prstGeom>
                    <a:noFill/>
                  </pic:spPr>
                </pic:pic>
              </a:graphicData>
            </a:graphic>
          </wp:inline>
        </w:drawing>
      </w:r>
      <w:r w:rsidR="00C56E34" w:rsidRPr="00C56E34">
        <w:rPr>
          <w:rFonts w:ascii="Arial" w:hAnsi="Arial" w:cs="Arial"/>
          <w:sz w:val="22"/>
          <w:szCs w:val="22"/>
          <w:lang w:val="en-GB"/>
        </w:rPr>
        <w:t xml:space="preserve"> </w:t>
      </w:r>
      <w:r w:rsidR="002C3CCE" w:rsidRPr="00C56E34">
        <w:rPr>
          <w:noProof/>
        </w:rPr>
        <w:drawing>
          <wp:inline distT="0" distB="0" distL="0" distR="0" wp14:anchorId="42E9549A" wp14:editId="4506A80C">
            <wp:extent cx="1154883" cy="577442"/>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71269" cy="585635"/>
                    </a:xfrm>
                    <a:prstGeom prst="rect">
                      <a:avLst/>
                    </a:prstGeom>
                    <a:noFill/>
                    <a:ln>
                      <a:noFill/>
                    </a:ln>
                  </pic:spPr>
                </pic:pic>
              </a:graphicData>
            </a:graphic>
          </wp:inline>
        </w:drawing>
      </w:r>
    </w:p>
    <w:p w14:paraId="385CC58C" w14:textId="5C99C7B1" w:rsidR="00737FD1" w:rsidRDefault="00737FD1" w:rsidP="00434DF3">
      <w:pPr>
        <w:jc w:val="both"/>
        <w:rPr>
          <w:rFonts w:ascii="Arial" w:hAnsi="Arial" w:cs="Arial"/>
          <w:sz w:val="22"/>
          <w:szCs w:val="22"/>
          <w:lang w:val="en-GB"/>
        </w:rPr>
      </w:pPr>
    </w:p>
    <w:p w14:paraId="535566EC" w14:textId="3358D235" w:rsidR="00737FD1" w:rsidRDefault="002C3CCE">
      <w:pPr>
        <w:rPr>
          <w:rFonts w:ascii="Arial" w:hAnsi="Arial"/>
          <w:b/>
          <w:sz w:val="22"/>
          <w:szCs w:val="22"/>
          <w:lang w:val="en-GB"/>
        </w:rPr>
      </w:pPr>
      <w:r w:rsidRPr="002C3CCE">
        <w:rPr>
          <w:rFonts w:ascii="Arial" w:hAnsi="Arial"/>
          <w:b/>
          <w:noProof/>
          <w:sz w:val="22"/>
          <w:szCs w:val="22"/>
          <w:lang w:val="en-GB"/>
        </w:rPr>
        <w:drawing>
          <wp:inline distT="0" distB="0" distL="0" distR="0" wp14:anchorId="7185020F" wp14:editId="15C39A88">
            <wp:extent cx="4590271" cy="2824782"/>
            <wp:effectExtent l="0" t="0" r="127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98006" cy="2829542"/>
                    </a:xfrm>
                    <a:prstGeom prst="rect">
                      <a:avLst/>
                    </a:prstGeom>
                  </pic:spPr>
                </pic:pic>
              </a:graphicData>
            </a:graphic>
          </wp:inline>
        </w:drawing>
      </w:r>
      <w:r w:rsidR="00737FD1">
        <w:rPr>
          <w:rFonts w:ascii="Arial" w:hAnsi="Arial"/>
          <w:b/>
          <w:sz w:val="22"/>
          <w:szCs w:val="22"/>
          <w:lang w:val="en-GB"/>
        </w:rPr>
        <w:br w:type="page"/>
      </w:r>
    </w:p>
    <w:p w14:paraId="7047A605" w14:textId="401EFC38" w:rsidR="005967A6" w:rsidRDefault="00FE2F5F" w:rsidP="005967A6">
      <w:pPr>
        <w:jc w:val="both"/>
        <w:rPr>
          <w:rStyle w:val="Heading1Char"/>
          <w:lang w:val="en-GB"/>
        </w:rPr>
      </w:pPr>
      <w:bookmarkStart w:id="138" w:name="_Toc85627567"/>
      <w:r w:rsidRPr="00FE2F5F">
        <w:rPr>
          <w:rStyle w:val="Heading1Char"/>
          <w:lang w:val="en-GB"/>
        </w:rPr>
        <w:t>5.</w:t>
      </w:r>
      <w:r>
        <w:rPr>
          <w:rStyle w:val="Heading1Char"/>
          <w:lang w:val="en-GB"/>
        </w:rPr>
        <w:t>5</w:t>
      </w:r>
      <w:r w:rsidRPr="00FE2F5F">
        <w:rPr>
          <w:rStyle w:val="Heading1Char"/>
          <w:lang w:val="en-GB"/>
        </w:rPr>
        <w:t xml:space="preserve"> </w:t>
      </w:r>
      <w:r>
        <w:rPr>
          <w:rStyle w:val="Heading1Char"/>
          <w:lang w:val="en-GB"/>
        </w:rPr>
        <w:t>Well Decommissioning (days)</w:t>
      </w:r>
      <w:bookmarkEnd w:id="138"/>
    </w:p>
    <w:p w14:paraId="7A827F3A" w14:textId="77777777" w:rsidR="00C23DFC" w:rsidRDefault="00C23DFC" w:rsidP="005967A6">
      <w:pPr>
        <w:jc w:val="both"/>
        <w:rPr>
          <w:rStyle w:val="Heading1Char"/>
          <w:lang w:val="en-GB"/>
        </w:rPr>
      </w:pPr>
    </w:p>
    <w:p w14:paraId="73A2714F" w14:textId="5E56D1F7" w:rsidR="00C23DFC" w:rsidRDefault="00DE0B9E" w:rsidP="005967A6">
      <w:pPr>
        <w:jc w:val="both"/>
        <w:rPr>
          <w:rFonts w:ascii="Arial" w:hAnsi="Arial" w:cs="Arial"/>
          <w:bCs/>
          <w:sz w:val="22"/>
          <w:szCs w:val="24"/>
          <w:lang w:val="en-GB"/>
        </w:rPr>
      </w:pPr>
      <w:r w:rsidRPr="00DE0B9E">
        <w:rPr>
          <w:rFonts w:ascii="Arial" w:hAnsi="Arial" w:cs="Arial"/>
          <w:bCs/>
          <w:sz w:val="22"/>
          <w:szCs w:val="24"/>
          <w:lang w:val="en-GB"/>
        </w:rPr>
        <w:t>Ne</w:t>
      </w:r>
      <w:r>
        <w:rPr>
          <w:rFonts w:ascii="Arial" w:hAnsi="Arial" w:cs="Arial"/>
          <w:bCs/>
          <w:sz w:val="22"/>
          <w:szCs w:val="24"/>
          <w:lang w:val="en-GB"/>
        </w:rPr>
        <w:t xml:space="preserve">w metric. </w:t>
      </w:r>
    </w:p>
    <w:p w14:paraId="608847BD" w14:textId="77777777" w:rsidR="007B695F" w:rsidRDefault="007B695F" w:rsidP="005967A6">
      <w:pPr>
        <w:jc w:val="both"/>
        <w:rPr>
          <w:rFonts w:ascii="Arial" w:hAnsi="Arial" w:cs="Arial"/>
          <w:bCs/>
          <w:sz w:val="22"/>
          <w:szCs w:val="24"/>
          <w:lang w:val="en-GB"/>
        </w:rPr>
      </w:pPr>
    </w:p>
    <w:p w14:paraId="78D09B19" w14:textId="46764850" w:rsidR="007B695F" w:rsidRDefault="007B695F" w:rsidP="005967A6">
      <w:pPr>
        <w:jc w:val="both"/>
        <w:rPr>
          <w:rFonts w:ascii="Arial" w:hAnsi="Arial" w:cs="Arial"/>
          <w:b/>
          <w:sz w:val="22"/>
          <w:szCs w:val="24"/>
          <w:lang w:val="en-GB"/>
        </w:rPr>
      </w:pPr>
      <w:r>
        <w:rPr>
          <w:rFonts w:ascii="Arial" w:hAnsi="Arial" w:cs="Arial"/>
          <w:bCs/>
          <w:sz w:val="22"/>
          <w:szCs w:val="24"/>
          <w:lang w:val="en-GB"/>
        </w:rPr>
        <w:t xml:space="preserve">Sample size: </w:t>
      </w:r>
      <w:r w:rsidR="00DC6197" w:rsidRPr="00DC6197">
        <w:rPr>
          <w:rFonts w:ascii="Arial" w:hAnsi="Arial" w:cs="Arial"/>
          <w:bCs/>
          <w:sz w:val="22"/>
          <w:szCs w:val="24"/>
          <w:lang w:val="en-GB"/>
        </w:rPr>
        <w:t>per table</w:t>
      </w:r>
    </w:p>
    <w:p w14:paraId="6A425DDC" w14:textId="77777777" w:rsidR="007B695F" w:rsidRDefault="007B695F" w:rsidP="005967A6">
      <w:pPr>
        <w:jc w:val="both"/>
        <w:rPr>
          <w:rFonts w:ascii="Arial" w:hAnsi="Arial" w:cs="Arial"/>
          <w:b/>
          <w:sz w:val="22"/>
          <w:szCs w:val="24"/>
          <w:lang w:val="en-GB"/>
        </w:rPr>
      </w:pPr>
    </w:p>
    <w:p w14:paraId="46EB955D" w14:textId="70F09873" w:rsidR="005967A6" w:rsidRDefault="007B695F" w:rsidP="005967A6">
      <w:pPr>
        <w:jc w:val="both"/>
        <w:rPr>
          <w:rFonts w:ascii="Arial" w:hAnsi="Arial" w:cs="Arial"/>
          <w:b/>
          <w:sz w:val="22"/>
          <w:szCs w:val="24"/>
          <w:lang w:val="en-GB"/>
        </w:rPr>
      </w:pPr>
      <w:r w:rsidRPr="007B695F">
        <w:rPr>
          <w:rFonts w:ascii="Arial" w:hAnsi="Arial" w:cs="Arial"/>
          <w:b/>
          <w:sz w:val="22"/>
          <w:szCs w:val="24"/>
          <w:lang w:val="en-GB"/>
        </w:rPr>
        <w:t>Figure 1</w:t>
      </w:r>
      <w:r w:rsidR="00F37312">
        <w:rPr>
          <w:rFonts w:ascii="Arial" w:hAnsi="Arial" w:cs="Arial"/>
          <w:b/>
          <w:sz w:val="22"/>
          <w:szCs w:val="24"/>
          <w:lang w:val="en-GB"/>
        </w:rPr>
        <w:t>8</w:t>
      </w:r>
      <w:r w:rsidRPr="007B695F">
        <w:rPr>
          <w:rFonts w:ascii="Arial" w:hAnsi="Arial" w:cs="Arial"/>
          <w:b/>
          <w:sz w:val="22"/>
          <w:szCs w:val="24"/>
          <w:lang w:val="en-GB"/>
        </w:rPr>
        <w:t xml:space="preserve">: </w:t>
      </w:r>
      <w:r>
        <w:rPr>
          <w:rFonts w:ascii="Arial" w:hAnsi="Arial" w:cs="Arial"/>
          <w:b/>
          <w:sz w:val="22"/>
          <w:szCs w:val="24"/>
          <w:lang w:val="en-GB"/>
        </w:rPr>
        <w:t xml:space="preserve">Well decommissioning </w:t>
      </w:r>
      <w:r w:rsidR="00BF1F6C">
        <w:rPr>
          <w:rFonts w:ascii="Arial" w:hAnsi="Arial" w:cs="Arial"/>
          <w:b/>
          <w:sz w:val="22"/>
          <w:szCs w:val="24"/>
          <w:lang w:val="en-GB"/>
        </w:rPr>
        <w:t>(days to complete P&amp;A – all well categories)</w:t>
      </w:r>
    </w:p>
    <w:p w14:paraId="28A6A5EC" w14:textId="77777777" w:rsidR="00BF1F6C" w:rsidRDefault="00BF1F6C" w:rsidP="005967A6">
      <w:pPr>
        <w:jc w:val="both"/>
        <w:rPr>
          <w:color w:val="0070C0"/>
          <w:lang w:val="en-GB"/>
        </w:rPr>
      </w:pPr>
    </w:p>
    <w:p w14:paraId="3CF6D321" w14:textId="15FB0BA7" w:rsidR="008F5BDA" w:rsidRPr="008F5BDA" w:rsidRDefault="00A7485C" w:rsidP="008F5BDA">
      <w:pPr>
        <w:jc w:val="both"/>
        <w:rPr>
          <w:color w:val="0070C0"/>
          <w:lang w:val="en-GB"/>
        </w:rPr>
      </w:pPr>
      <w:r>
        <w:rPr>
          <w:noProof/>
          <w:color w:val="0070C0"/>
          <w:lang w:val="en-GB"/>
        </w:rPr>
        <w:drawing>
          <wp:inline distT="0" distB="0" distL="0" distR="0" wp14:anchorId="5AFAC26F" wp14:editId="2C8BAAA9">
            <wp:extent cx="5608806" cy="2743438"/>
            <wp:effectExtent l="0" t="0" r="0" b="0"/>
            <wp:docPr id="45" name="Picture 4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hart, box and whisker chart&#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5608806" cy="2743438"/>
                    </a:xfrm>
                    <a:prstGeom prst="rect">
                      <a:avLst/>
                    </a:prstGeom>
                  </pic:spPr>
                </pic:pic>
              </a:graphicData>
            </a:graphic>
          </wp:inline>
        </w:drawing>
      </w:r>
    </w:p>
    <w:p w14:paraId="325608D4" w14:textId="77777777" w:rsidR="005967A6" w:rsidRDefault="005967A6" w:rsidP="005967A6">
      <w:pPr>
        <w:jc w:val="both"/>
        <w:rPr>
          <w:color w:val="0070C0"/>
          <w:lang w:val="en-GB"/>
        </w:rPr>
      </w:pPr>
    </w:p>
    <w:p w14:paraId="6F8F0BAE" w14:textId="77777777" w:rsidR="005967A6" w:rsidRDefault="005967A6" w:rsidP="005967A6">
      <w:pPr>
        <w:jc w:val="both"/>
        <w:rPr>
          <w:color w:val="0070C0"/>
          <w:lang w:val="en-GB"/>
        </w:rPr>
      </w:pPr>
    </w:p>
    <w:p w14:paraId="13FD639F" w14:textId="0D951506" w:rsidR="004D3B56" w:rsidRDefault="00941540" w:rsidP="005967A6">
      <w:pPr>
        <w:jc w:val="both"/>
        <w:rPr>
          <w:color w:val="0070C0"/>
          <w:lang w:val="en-GB"/>
        </w:rPr>
      </w:pPr>
      <w:r w:rsidRPr="00941540">
        <w:rPr>
          <w:noProof/>
        </w:rPr>
        <w:drawing>
          <wp:inline distT="0" distB="0" distL="0" distR="0" wp14:anchorId="2C640CC1" wp14:editId="2D360CC8">
            <wp:extent cx="5248910" cy="1349375"/>
            <wp:effectExtent l="0" t="0" r="889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48910" cy="1349375"/>
                    </a:xfrm>
                    <a:prstGeom prst="rect">
                      <a:avLst/>
                    </a:prstGeom>
                    <a:noFill/>
                    <a:ln>
                      <a:noFill/>
                    </a:ln>
                  </pic:spPr>
                </pic:pic>
              </a:graphicData>
            </a:graphic>
          </wp:inline>
        </w:drawing>
      </w:r>
    </w:p>
    <w:p w14:paraId="3372BBC5" w14:textId="77777777" w:rsidR="00A02085" w:rsidRDefault="00A02085" w:rsidP="005967A6">
      <w:pPr>
        <w:jc w:val="both"/>
        <w:rPr>
          <w:color w:val="0070C0"/>
          <w:lang w:val="en-GB"/>
        </w:rPr>
      </w:pPr>
    </w:p>
    <w:p w14:paraId="0CBAFB4C" w14:textId="72DF9601" w:rsidR="006B5BCF" w:rsidRPr="008947FB" w:rsidRDefault="002355C0" w:rsidP="005967A6">
      <w:pPr>
        <w:jc w:val="both"/>
        <w:rPr>
          <w:rFonts w:ascii="Arial" w:hAnsi="Arial" w:cs="Arial"/>
          <w:sz w:val="22"/>
          <w:szCs w:val="24"/>
          <w:lang w:val="en-GB"/>
        </w:rPr>
      </w:pPr>
      <w:r w:rsidRPr="008947FB">
        <w:rPr>
          <w:rFonts w:ascii="Arial" w:hAnsi="Arial" w:cs="Arial"/>
          <w:sz w:val="22"/>
          <w:szCs w:val="24"/>
          <w:highlight w:val="yellow"/>
          <w:lang w:val="en-GB"/>
        </w:rPr>
        <w:t xml:space="preserve">*where </w:t>
      </w:r>
      <w:r w:rsidR="00160884">
        <w:rPr>
          <w:rFonts w:ascii="Arial" w:hAnsi="Arial" w:cs="Arial"/>
          <w:sz w:val="22"/>
          <w:szCs w:val="24"/>
          <w:highlight w:val="yellow"/>
          <w:lang w:val="en-GB"/>
        </w:rPr>
        <w:t xml:space="preserve">no. of days </w:t>
      </w:r>
      <w:r w:rsidR="009F5BD2" w:rsidRPr="008947FB">
        <w:rPr>
          <w:rFonts w:ascii="Arial" w:hAnsi="Arial" w:cs="Arial"/>
          <w:sz w:val="22"/>
          <w:szCs w:val="24"/>
          <w:highlight w:val="yellow"/>
          <w:lang w:val="en-GB"/>
        </w:rPr>
        <w:t>data is available</w:t>
      </w:r>
    </w:p>
    <w:p w14:paraId="7DE94ABA" w14:textId="0BD11CB9" w:rsidR="009D54F3" w:rsidRDefault="00584265" w:rsidP="009D54F3">
      <w:pPr>
        <w:pStyle w:val="Heading1"/>
        <w:numPr>
          <w:ilvl w:val="0"/>
          <w:numId w:val="40"/>
        </w:numPr>
        <w:spacing w:after="120"/>
        <w:jc w:val="left"/>
        <w:rPr>
          <w:color w:val="0070C0"/>
          <w:lang w:val="en-GB"/>
        </w:rPr>
      </w:pPr>
      <w:bookmarkStart w:id="139" w:name="_Toc85627568"/>
      <w:r w:rsidRPr="009D54F3">
        <w:rPr>
          <w:color w:val="0070C0"/>
          <w:lang w:val="en-GB"/>
        </w:rPr>
        <w:t xml:space="preserve">FPSO </w:t>
      </w:r>
      <w:r w:rsidR="004B76B8" w:rsidRPr="009D54F3">
        <w:rPr>
          <w:color w:val="0070C0"/>
          <w:lang w:val="en-GB"/>
        </w:rPr>
        <w:t xml:space="preserve">removal (incl. </w:t>
      </w:r>
      <w:r w:rsidRPr="009D54F3">
        <w:rPr>
          <w:color w:val="0070C0"/>
          <w:lang w:val="en-GB"/>
        </w:rPr>
        <w:t>disconnection and tow</w:t>
      </w:r>
      <w:r w:rsidR="004B76B8" w:rsidRPr="009D54F3">
        <w:rPr>
          <w:color w:val="0070C0"/>
          <w:lang w:val="en-GB"/>
        </w:rPr>
        <w:t>)</w:t>
      </w:r>
      <w:bookmarkEnd w:id="139"/>
    </w:p>
    <w:p w14:paraId="671A4EE6" w14:textId="607BCA6E" w:rsidR="00A43B71" w:rsidRPr="009D54F3" w:rsidRDefault="009D54F3" w:rsidP="009D54F3">
      <w:pPr>
        <w:jc w:val="both"/>
        <w:rPr>
          <w:rStyle w:val="Heading1Char"/>
        </w:rPr>
      </w:pPr>
      <w:bookmarkStart w:id="140" w:name="_Toc85627569"/>
      <w:r w:rsidRPr="00F1757D">
        <w:rPr>
          <w:rStyle w:val="Heading1Char"/>
        </w:rPr>
        <w:t xml:space="preserve">6.1 </w:t>
      </w:r>
      <w:r w:rsidR="00584265" w:rsidRPr="00F1757D">
        <w:rPr>
          <w:rStyle w:val="Heading1Char"/>
        </w:rPr>
        <w:t>NNS &amp; CNS</w:t>
      </w:r>
      <w:bookmarkEnd w:id="140"/>
    </w:p>
    <w:p w14:paraId="5153CC1B" w14:textId="77777777" w:rsidR="007F5A02" w:rsidRDefault="007F5A02" w:rsidP="00584265">
      <w:pPr>
        <w:jc w:val="both"/>
        <w:rPr>
          <w:rFonts w:ascii="Arial" w:hAnsi="Arial" w:cs="Arial"/>
          <w:b/>
          <w:sz w:val="22"/>
          <w:szCs w:val="24"/>
          <w:u w:val="single"/>
          <w:lang w:val="en-GB"/>
        </w:rPr>
      </w:pPr>
    </w:p>
    <w:p w14:paraId="5F1D31A3" w14:textId="36E950F5" w:rsidR="00255292" w:rsidRPr="00334F94" w:rsidRDefault="00B071E1" w:rsidP="00334F94">
      <w:pPr>
        <w:rPr>
          <w:rFonts w:ascii="Arial" w:hAnsi="Arial" w:cs="Arial"/>
          <w:bCs/>
          <w:sz w:val="22"/>
          <w:szCs w:val="24"/>
          <w:lang w:val="en-GB"/>
        </w:rPr>
      </w:pPr>
      <w:r w:rsidRPr="00E50A9A">
        <w:rPr>
          <w:rFonts w:ascii="Arial" w:hAnsi="Arial" w:cs="Arial"/>
          <w:sz w:val="22"/>
          <w:szCs w:val="24"/>
          <w:lang w:val="en-GB"/>
        </w:rPr>
        <w:t>A m</w:t>
      </w:r>
      <w:r w:rsidR="003D34B6" w:rsidRPr="00E50A9A">
        <w:rPr>
          <w:rFonts w:ascii="Arial" w:hAnsi="Arial" w:cs="Arial"/>
          <w:sz w:val="22"/>
          <w:szCs w:val="24"/>
          <w:lang w:val="en-GB"/>
        </w:rPr>
        <w:t xml:space="preserve">aterial change in the metric is </w:t>
      </w:r>
      <w:r w:rsidR="00334F94" w:rsidRPr="00E50A9A">
        <w:rPr>
          <w:rFonts w:ascii="Arial" w:hAnsi="Arial" w:cs="Arial"/>
          <w:sz w:val="22"/>
          <w:szCs w:val="24"/>
          <w:lang w:val="en-GB"/>
        </w:rPr>
        <w:t>reported</w:t>
      </w:r>
      <w:r w:rsidR="003D34B6" w:rsidRPr="00E50A9A">
        <w:rPr>
          <w:rFonts w:ascii="Arial" w:hAnsi="Arial" w:cs="Arial"/>
          <w:sz w:val="22"/>
          <w:szCs w:val="24"/>
          <w:lang w:val="en-GB"/>
        </w:rPr>
        <w:t xml:space="preserve"> </w:t>
      </w:r>
      <w:r w:rsidR="00334F94" w:rsidRPr="00E50A9A">
        <w:rPr>
          <w:rFonts w:ascii="Arial" w:hAnsi="Arial" w:cs="Arial"/>
          <w:sz w:val="22"/>
          <w:szCs w:val="24"/>
          <w:lang w:val="en-GB"/>
        </w:rPr>
        <w:t>(~25% reduction in P50 relative to prior years metric)</w:t>
      </w:r>
      <w:r w:rsidR="00CA7731" w:rsidRPr="00E50A9A">
        <w:rPr>
          <w:rFonts w:ascii="Arial" w:hAnsi="Arial" w:cs="Arial"/>
          <w:sz w:val="22"/>
          <w:szCs w:val="24"/>
          <w:lang w:val="en-GB"/>
        </w:rPr>
        <w:t>,</w:t>
      </w:r>
      <w:r w:rsidR="00334F94" w:rsidRPr="00E50A9A">
        <w:rPr>
          <w:rFonts w:ascii="Arial" w:hAnsi="Arial" w:cs="Arial"/>
          <w:sz w:val="22"/>
          <w:szCs w:val="24"/>
          <w:lang w:val="en-GB"/>
        </w:rPr>
        <w:t xml:space="preserve"> however </w:t>
      </w:r>
      <w:r w:rsidR="00CA7731" w:rsidRPr="00E50A9A">
        <w:rPr>
          <w:rFonts w:ascii="Arial" w:hAnsi="Arial" w:cs="Arial"/>
          <w:sz w:val="22"/>
          <w:szCs w:val="24"/>
          <w:lang w:val="en-GB"/>
        </w:rPr>
        <w:t>this</w:t>
      </w:r>
      <w:r w:rsidR="000E7BBB" w:rsidRPr="00E50A9A">
        <w:rPr>
          <w:rFonts w:ascii="Arial" w:hAnsi="Arial" w:cs="Arial"/>
          <w:sz w:val="22"/>
          <w:szCs w:val="24"/>
          <w:lang w:val="en-GB"/>
        </w:rPr>
        <w:t xml:space="preserve"> change</w:t>
      </w:r>
      <w:r w:rsidR="00CA7731" w:rsidRPr="00E50A9A">
        <w:rPr>
          <w:rFonts w:ascii="Arial" w:hAnsi="Arial" w:cs="Arial"/>
          <w:sz w:val="22"/>
          <w:szCs w:val="24"/>
          <w:lang w:val="en-GB"/>
        </w:rPr>
        <w:t xml:space="preserve"> is </w:t>
      </w:r>
      <w:r w:rsidR="00DC2DB0">
        <w:rPr>
          <w:rFonts w:ascii="Arial" w:hAnsi="Arial" w:cs="Arial"/>
          <w:bCs/>
          <w:sz w:val="22"/>
          <w:szCs w:val="24"/>
          <w:lang w:val="en-GB"/>
        </w:rPr>
        <w:t>influenced by</w:t>
      </w:r>
      <w:r w:rsidR="00CA7731" w:rsidRPr="00E50A9A">
        <w:rPr>
          <w:rFonts w:ascii="Arial" w:hAnsi="Arial" w:cs="Arial"/>
          <w:bCs/>
          <w:sz w:val="22"/>
          <w:szCs w:val="24"/>
          <w:lang w:val="en-GB"/>
        </w:rPr>
        <w:t xml:space="preserve"> </w:t>
      </w:r>
      <w:r w:rsidR="002402AD" w:rsidRPr="00E50A9A">
        <w:rPr>
          <w:rFonts w:ascii="Arial" w:hAnsi="Arial" w:cs="Arial"/>
          <w:sz w:val="22"/>
          <w:szCs w:val="24"/>
          <w:lang w:val="en-GB"/>
        </w:rPr>
        <w:t xml:space="preserve">the </w:t>
      </w:r>
      <w:r w:rsidR="003120F0" w:rsidRPr="00E50A9A">
        <w:rPr>
          <w:rFonts w:ascii="Arial" w:hAnsi="Arial" w:cs="Arial"/>
          <w:sz w:val="22"/>
          <w:szCs w:val="24"/>
          <w:lang w:val="en-GB"/>
        </w:rPr>
        <w:t xml:space="preserve">small sample size and </w:t>
      </w:r>
      <w:r w:rsidR="00255292" w:rsidRPr="00E50A9A">
        <w:rPr>
          <w:rFonts w:ascii="Arial" w:hAnsi="Arial" w:cs="Arial"/>
          <w:sz w:val="22"/>
          <w:szCs w:val="24"/>
          <w:lang w:val="en-GB"/>
        </w:rPr>
        <w:t>infrequent nature of the activity across UKCS</w:t>
      </w:r>
      <w:r w:rsidR="00955D97" w:rsidRPr="00E50A9A">
        <w:rPr>
          <w:rFonts w:ascii="Arial" w:hAnsi="Arial" w:cs="Arial"/>
          <w:sz w:val="22"/>
          <w:szCs w:val="24"/>
          <w:lang w:val="en-GB"/>
        </w:rPr>
        <w:t>. Cost</w:t>
      </w:r>
      <w:r w:rsidR="00955D97" w:rsidRPr="00E50A9A">
        <w:rPr>
          <w:rFonts w:ascii="Arial" w:hAnsi="Arial" w:cs="Arial"/>
          <w:bCs/>
          <w:sz w:val="22"/>
          <w:szCs w:val="24"/>
          <w:lang w:val="en-GB"/>
        </w:rPr>
        <w:t xml:space="preserve"> </w:t>
      </w:r>
      <w:r w:rsidR="00DC2DB0">
        <w:rPr>
          <w:rFonts w:ascii="Arial" w:hAnsi="Arial" w:cs="Arial"/>
          <w:bCs/>
          <w:sz w:val="22"/>
          <w:szCs w:val="24"/>
          <w:lang w:val="en-GB"/>
        </w:rPr>
        <w:t>is</w:t>
      </w:r>
      <w:r w:rsidR="00955D97">
        <w:rPr>
          <w:rFonts w:ascii="Arial" w:hAnsi="Arial" w:cs="Arial"/>
          <w:sz w:val="22"/>
          <w:szCs w:val="24"/>
          <w:lang w:val="en-GB"/>
        </w:rPr>
        <w:t xml:space="preserve"> </w:t>
      </w:r>
      <w:r w:rsidR="00955D97" w:rsidRPr="00E50A9A">
        <w:rPr>
          <w:rFonts w:ascii="Arial" w:hAnsi="Arial" w:cs="Arial"/>
          <w:sz w:val="22"/>
          <w:szCs w:val="24"/>
          <w:lang w:val="en-GB"/>
        </w:rPr>
        <w:t>influence</w:t>
      </w:r>
      <w:r w:rsidR="004E6E7F" w:rsidRPr="00E50A9A">
        <w:rPr>
          <w:rFonts w:ascii="Arial" w:hAnsi="Arial" w:cs="Arial"/>
          <w:sz w:val="22"/>
          <w:szCs w:val="24"/>
          <w:lang w:val="en-GB"/>
        </w:rPr>
        <w:t>d by a number of factors including s</w:t>
      </w:r>
      <w:r w:rsidR="00BC17F1" w:rsidRPr="00E50A9A">
        <w:rPr>
          <w:rFonts w:ascii="Arial" w:hAnsi="Arial" w:cs="Arial"/>
          <w:sz w:val="22"/>
          <w:szCs w:val="24"/>
          <w:lang w:val="en-GB"/>
        </w:rPr>
        <w:t xml:space="preserve">cope </w:t>
      </w:r>
      <w:proofErr w:type="gramStart"/>
      <w:r w:rsidR="00A34B52" w:rsidRPr="00E50A9A">
        <w:rPr>
          <w:rFonts w:ascii="Arial" w:hAnsi="Arial" w:cs="Arial"/>
          <w:sz w:val="22"/>
          <w:szCs w:val="24"/>
          <w:lang w:val="en-GB"/>
        </w:rPr>
        <w:t>e.g</w:t>
      </w:r>
      <w:r w:rsidR="00D81DF6">
        <w:rPr>
          <w:rFonts w:ascii="Arial" w:hAnsi="Arial" w:cs="Arial"/>
          <w:bCs/>
          <w:sz w:val="22"/>
          <w:szCs w:val="24"/>
          <w:lang w:val="en-GB"/>
        </w:rPr>
        <w:t>.</w:t>
      </w:r>
      <w:proofErr w:type="gramEnd"/>
      <w:r w:rsidR="00A34B52" w:rsidRPr="00E50A9A">
        <w:rPr>
          <w:rFonts w:ascii="Arial" w:hAnsi="Arial" w:cs="Arial"/>
          <w:bCs/>
          <w:sz w:val="22"/>
          <w:szCs w:val="24"/>
          <w:lang w:val="en-GB"/>
        </w:rPr>
        <w:t xml:space="preserve"> </w:t>
      </w:r>
      <w:r w:rsidR="00D81DF6">
        <w:rPr>
          <w:rFonts w:ascii="Arial" w:hAnsi="Arial" w:cs="Arial"/>
          <w:bCs/>
          <w:sz w:val="22"/>
          <w:szCs w:val="24"/>
          <w:lang w:val="en-GB"/>
        </w:rPr>
        <w:t>removal of stabilisation features (mattresses)</w:t>
      </w:r>
      <w:r w:rsidR="009A20BA">
        <w:rPr>
          <w:rFonts w:ascii="Arial" w:hAnsi="Arial" w:cs="Arial"/>
          <w:bCs/>
          <w:sz w:val="22"/>
          <w:szCs w:val="24"/>
          <w:lang w:val="en-GB"/>
        </w:rPr>
        <w:t>; mooring recovery</w:t>
      </w:r>
      <w:r w:rsidR="00B916B2" w:rsidRPr="00E50A9A">
        <w:rPr>
          <w:rFonts w:ascii="Arial" w:hAnsi="Arial" w:cs="Arial"/>
          <w:sz w:val="22"/>
          <w:szCs w:val="24"/>
          <w:lang w:val="en-GB"/>
        </w:rPr>
        <w:t xml:space="preserve"> </w:t>
      </w:r>
      <w:r w:rsidR="00BC17F1" w:rsidRPr="00E50A9A">
        <w:rPr>
          <w:rFonts w:ascii="Arial" w:hAnsi="Arial" w:cs="Arial"/>
          <w:sz w:val="22"/>
          <w:szCs w:val="24"/>
          <w:lang w:val="en-GB"/>
        </w:rPr>
        <w:t xml:space="preserve">and </w:t>
      </w:r>
      <w:r w:rsidR="00EF4F9B" w:rsidRPr="00E50A9A">
        <w:rPr>
          <w:rFonts w:ascii="Arial" w:hAnsi="Arial" w:cs="Arial"/>
          <w:bCs/>
          <w:sz w:val="22"/>
          <w:szCs w:val="24"/>
          <w:lang w:val="en-GB"/>
        </w:rPr>
        <w:t xml:space="preserve">transfer </w:t>
      </w:r>
      <w:r w:rsidR="00EF4F9B">
        <w:rPr>
          <w:rFonts w:ascii="Arial" w:hAnsi="Arial" w:cs="Arial"/>
          <w:sz w:val="22"/>
          <w:szCs w:val="24"/>
          <w:lang w:val="en-GB"/>
        </w:rPr>
        <w:t xml:space="preserve">of </w:t>
      </w:r>
      <w:r w:rsidR="00181085">
        <w:rPr>
          <w:rFonts w:ascii="Arial" w:hAnsi="Arial" w:cs="Arial"/>
          <w:bCs/>
          <w:sz w:val="22"/>
          <w:szCs w:val="24"/>
          <w:lang w:val="en-GB"/>
        </w:rPr>
        <w:t xml:space="preserve">FPSO </w:t>
      </w:r>
      <w:r w:rsidR="00B916B2">
        <w:rPr>
          <w:rFonts w:ascii="Arial" w:hAnsi="Arial" w:cs="Arial"/>
          <w:sz w:val="22"/>
          <w:szCs w:val="24"/>
          <w:lang w:val="en-GB"/>
        </w:rPr>
        <w:t>ownership</w:t>
      </w:r>
      <w:r w:rsidR="00EF4F9B">
        <w:rPr>
          <w:rFonts w:ascii="Arial" w:hAnsi="Arial" w:cs="Arial"/>
          <w:sz w:val="22"/>
          <w:szCs w:val="24"/>
          <w:lang w:val="en-GB"/>
        </w:rPr>
        <w:t xml:space="preserve"> </w:t>
      </w:r>
      <w:r w:rsidR="00EF4F9B" w:rsidRPr="00E50A9A">
        <w:rPr>
          <w:rFonts w:ascii="Arial" w:hAnsi="Arial" w:cs="Arial"/>
          <w:sz w:val="22"/>
          <w:szCs w:val="24"/>
          <w:lang w:val="en-GB"/>
        </w:rPr>
        <w:t>(where appropriate)</w:t>
      </w:r>
      <w:r w:rsidR="00BC17F1" w:rsidRPr="00E50A9A">
        <w:rPr>
          <w:rFonts w:ascii="Arial" w:hAnsi="Arial" w:cs="Arial"/>
          <w:sz w:val="22"/>
          <w:szCs w:val="24"/>
          <w:lang w:val="en-GB"/>
        </w:rPr>
        <w:t>.</w:t>
      </w:r>
    </w:p>
    <w:p w14:paraId="3806A0C5" w14:textId="77777777" w:rsidR="00D24A22" w:rsidRDefault="00D24A22" w:rsidP="00584265">
      <w:pPr>
        <w:jc w:val="both"/>
        <w:rPr>
          <w:rFonts w:ascii="Arial" w:hAnsi="Arial" w:cs="Arial"/>
          <w:bCs/>
          <w:sz w:val="22"/>
          <w:szCs w:val="24"/>
          <w:lang w:val="en-GB"/>
        </w:rPr>
      </w:pPr>
    </w:p>
    <w:p w14:paraId="2766A765" w14:textId="2A847EF1" w:rsidR="007F5A02" w:rsidRPr="007F5A02" w:rsidRDefault="007F5A02" w:rsidP="00584265">
      <w:pPr>
        <w:jc w:val="both"/>
        <w:rPr>
          <w:rFonts w:ascii="Arial" w:hAnsi="Arial" w:cs="Arial"/>
          <w:bCs/>
          <w:sz w:val="22"/>
          <w:szCs w:val="24"/>
          <w:lang w:val="en-GB"/>
        </w:rPr>
      </w:pPr>
      <w:r>
        <w:rPr>
          <w:rFonts w:ascii="Arial" w:hAnsi="Arial" w:cs="Arial"/>
          <w:bCs/>
          <w:sz w:val="22"/>
          <w:szCs w:val="24"/>
          <w:lang w:val="en-GB"/>
        </w:rPr>
        <w:t xml:space="preserve">Sample Size: </w:t>
      </w:r>
      <w:r w:rsidR="00D761CA" w:rsidRPr="00D761CA">
        <w:rPr>
          <w:rFonts w:ascii="Arial" w:hAnsi="Arial" w:cs="Arial"/>
          <w:bCs/>
          <w:sz w:val="22"/>
          <w:szCs w:val="24"/>
          <w:lang w:val="en-GB"/>
        </w:rPr>
        <w:t>5-10</w:t>
      </w:r>
    </w:p>
    <w:p w14:paraId="11F4602D" w14:textId="77777777" w:rsidR="00584265" w:rsidRDefault="00584265" w:rsidP="00737FD1">
      <w:pPr>
        <w:jc w:val="both"/>
        <w:rPr>
          <w:rFonts w:ascii="Arial" w:hAnsi="Arial"/>
          <w:b/>
          <w:sz w:val="22"/>
          <w:szCs w:val="22"/>
          <w:lang w:val="en-GB"/>
        </w:rPr>
      </w:pPr>
    </w:p>
    <w:p w14:paraId="4125D4F2" w14:textId="26CFF8C7" w:rsidR="00737FD1" w:rsidRPr="009E0CFB" w:rsidRDefault="00737FD1" w:rsidP="00737FD1">
      <w:pPr>
        <w:jc w:val="both"/>
        <w:rPr>
          <w:rFonts w:ascii="Arial" w:hAnsi="Arial"/>
          <w:b/>
          <w:sz w:val="22"/>
          <w:szCs w:val="22"/>
          <w:lang w:val="en-GB"/>
        </w:rPr>
      </w:pPr>
      <w:r w:rsidRPr="009E0CFB">
        <w:rPr>
          <w:rFonts w:ascii="Arial" w:hAnsi="Arial"/>
          <w:b/>
          <w:sz w:val="22"/>
          <w:szCs w:val="22"/>
          <w:lang w:val="en-GB"/>
        </w:rPr>
        <w:t xml:space="preserve">Figure </w:t>
      </w:r>
      <w:r w:rsidR="00E70A4F">
        <w:rPr>
          <w:rFonts w:ascii="Arial" w:hAnsi="Arial"/>
          <w:b/>
          <w:sz w:val="22"/>
          <w:szCs w:val="22"/>
          <w:lang w:val="en-GB"/>
        </w:rPr>
        <w:t>1</w:t>
      </w:r>
      <w:r w:rsidR="00F37312">
        <w:rPr>
          <w:rFonts w:ascii="Arial" w:hAnsi="Arial"/>
          <w:b/>
          <w:sz w:val="22"/>
          <w:szCs w:val="22"/>
          <w:lang w:val="en-GB"/>
        </w:rPr>
        <w:t>9</w:t>
      </w:r>
      <w:r w:rsidRPr="009E0CFB">
        <w:rPr>
          <w:rFonts w:ascii="Arial" w:hAnsi="Arial"/>
          <w:b/>
          <w:sz w:val="22"/>
          <w:szCs w:val="22"/>
          <w:lang w:val="en-GB"/>
        </w:rPr>
        <w:t xml:space="preserve">: </w:t>
      </w:r>
      <w:r>
        <w:rPr>
          <w:rFonts w:ascii="Arial" w:hAnsi="Arial"/>
          <w:b/>
          <w:sz w:val="22"/>
          <w:szCs w:val="22"/>
          <w:lang w:val="en-GB"/>
        </w:rPr>
        <w:t>FPSO disconnection and tow</w:t>
      </w:r>
    </w:p>
    <w:p w14:paraId="6367158A" w14:textId="450DAFC6" w:rsidR="00737FD1" w:rsidRPr="009E0CFB" w:rsidRDefault="00737FD1" w:rsidP="00737FD1">
      <w:pPr>
        <w:ind w:left="720" w:firstLine="720"/>
        <w:jc w:val="both"/>
        <w:rPr>
          <w:rFonts w:ascii="Arial" w:hAnsi="Arial" w:cs="Arial"/>
          <w:sz w:val="22"/>
          <w:szCs w:val="24"/>
          <w:lang w:val="en-GB"/>
        </w:rPr>
      </w:pPr>
    </w:p>
    <w:p w14:paraId="04B22FDF" w14:textId="34E55983" w:rsidR="00737FD1" w:rsidRPr="009E0CFB" w:rsidRDefault="00737FD1" w:rsidP="00737FD1">
      <w:pPr>
        <w:ind w:firstLine="1701"/>
        <w:jc w:val="both"/>
        <w:rPr>
          <w:rFonts w:ascii="Arial" w:hAnsi="Arial" w:cs="Arial"/>
          <w:sz w:val="22"/>
          <w:szCs w:val="24"/>
          <w:lang w:val="en-GB"/>
        </w:rPr>
      </w:pPr>
    </w:p>
    <w:p w14:paraId="42E31E3B" w14:textId="3C58F71C" w:rsidR="007209E8" w:rsidRPr="007209E8" w:rsidRDefault="00607A97">
      <w:pPr>
        <w:jc w:val="both"/>
        <w:rPr>
          <w:rFonts w:ascii="Arial" w:hAnsi="Arial" w:cs="Arial"/>
          <w:sz w:val="22"/>
          <w:szCs w:val="24"/>
          <w:lang w:val="en-GB"/>
        </w:rPr>
      </w:pPr>
      <w:r>
        <w:rPr>
          <w:rFonts w:ascii="Arial" w:hAnsi="Arial"/>
          <w:b/>
          <w:noProof/>
          <w:sz w:val="22"/>
          <w:szCs w:val="22"/>
          <w:lang w:val="en-GB"/>
        </w:rPr>
        <w:drawing>
          <wp:inline distT="0" distB="0" distL="0" distR="0" wp14:anchorId="62B762EF" wp14:editId="4631B35D">
            <wp:extent cx="4556339" cy="2667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32925" cy="2711828"/>
                    </a:xfrm>
                    <a:prstGeom prst="rect">
                      <a:avLst/>
                    </a:prstGeom>
                    <a:noFill/>
                  </pic:spPr>
                </pic:pic>
              </a:graphicData>
            </a:graphic>
          </wp:inline>
        </w:drawing>
      </w:r>
      <w:r w:rsidR="00DF3647" w:rsidRPr="00DF3647">
        <w:rPr>
          <w:rFonts w:ascii="Arial" w:hAnsi="Arial" w:cs="Arial"/>
          <w:sz w:val="22"/>
          <w:szCs w:val="24"/>
          <w:lang w:val="en-GB"/>
        </w:rPr>
        <w:t xml:space="preserve"> </w:t>
      </w:r>
      <w:r w:rsidR="00DF3647" w:rsidRPr="00DF3647">
        <w:rPr>
          <w:noProof/>
        </w:rPr>
        <w:drawing>
          <wp:inline distT="0" distB="0" distL="0" distR="0" wp14:anchorId="1A8D3446" wp14:editId="73D48CAC">
            <wp:extent cx="1280160" cy="6400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p>
    <w:p w14:paraId="17C5D55F" w14:textId="77777777" w:rsidR="003C23C0" w:rsidRDefault="003C23C0" w:rsidP="003C23C0">
      <w:pPr>
        <w:jc w:val="both"/>
        <w:rPr>
          <w:rFonts w:ascii="Arial" w:hAnsi="Arial" w:cs="Arial"/>
          <w:sz w:val="22"/>
          <w:szCs w:val="24"/>
          <w:lang w:val="en-GB"/>
        </w:rPr>
      </w:pPr>
    </w:p>
    <w:p w14:paraId="1E0B9B52" w14:textId="32FA7320" w:rsidR="00737FD1" w:rsidRDefault="003C23C0" w:rsidP="008947FB">
      <w:pPr>
        <w:jc w:val="both"/>
        <w:rPr>
          <w:rFonts w:ascii="Arial" w:hAnsi="Arial"/>
          <w:b/>
          <w:sz w:val="22"/>
          <w:szCs w:val="22"/>
          <w:lang w:val="en-GB"/>
        </w:rPr>
      </w:pPr>
      <w:r w:rsidRPr="003C23C0">
        <w:rPr>
          <w:rFonts w:ascii="Arial" w:hAnsi="Arial" w:cs="Arial"/>
          <w:noProof/>
          <w:sz w:val="22"/>
          <w:szCs w:val="24"/>
          <w:lang w:val="en-GB"/>
        </w:rPr>
        <w:drawing>
          <wp:inline distT="0" distB="0" distL="0" distR="0" wp14:anchorId="3D75254F" wp14:editId="4B99A32A">
            <wp:extent cx="4951369" cy="3048956"/>
            <wp:effectExtent l="0" t="0" r="190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977146" cy="3064829"/>
                    </a:xfrm>
                    <a:prstGeom prst="rect">
                      <a:avLst/>
                    </a:prstGeom>
                  </pic:spPr>
                </pic:pic>
              </a:graphicData>
            </a:graphic>
          </wp:inline>
        </w:drawing>
      </w:r>
      <w:r w:rsidR="00737FD1">
        <w:rPr>
          <w:rFonts w:ascii="Arial" w:hAnsi="Arial"/>
          <w:b/>
          <w:sz w:val="22"/>
          <w:szCs w:val="22"/>
          <w:lang w:val="en-GB"/>
        </w:rPr>
        <w:br w:type="page"/>
      </w:r>
    </w:p>
    <w:p w14:paraId="2F893FA1" w14:textId="58C64136" w:rsidR="000662C0" w:rsidRDefault="00CE7F11" w:rsidP="00CE7F11">
      <w:pPr>
        <w:pStyle w:val="Heading1"/>
        <w:spacing w:after="120"/>
        <w:jc w:val="both"/>
        <w:rPr>
          <w:color w:val="0070C0"/>
          <w:lang w:val="en-GB"/>
        </w:rPr>
      </w:pPr>
      <w:bookmarkStart w:id="141" w:name="_Toc515968705"/>
      <w:bookmarkStart w:id="142" w:name="_Toc515968706"/>
      <w:bookmarkStart w:id="143" w:name="_Toc515968707"/>
      <w:bookmarkStart w:id="144" w:name="_Toc515968708"/>
      <w:bookmarkStart w:id="145" w:name="_Toc515968744"/>
      <w:bookmarkStart w:id="146" w:name="_Toc515968745"/>
      <w:bookmarkStart w:id="147" w:name="_Toc515968747"/>
      <w:bookmarkStart w:id="148" w:name="_Toc515968748"/>
      <w:bookmarkStart w:id="149" w:name="_Toc515968750"/>
      <w:bookmarkStart w:id="150" w:name="_Toc515968753"/>
      <w:bookmarkStart w:id="151" w:name="_Toc515968754"/>
      <w:bookmarkStart w:id="152" w:name="_Toc515968755"/>
      <w:bookmarkStart w:id="153" w:name="_Toc515968756"/>
      <w:bookmarkStart w:id="154" w:name="_Toc515968758"/>
      <w:bookmarkStart w:id="155" w:name="_Toc515968761"/>
      <w:bookmarkStart w:id="156" w:name="_Toc515968764"/>
      <w:bookmarkStart w:id="157" w:name="_Toc515968765"/>
      <w:bookmarkStart w:id="158" w:name="_Toc515968766"/>
      <w:bookmarkStart w:id="159" w:name="_Toc515968767"/>
      <w:bookmarkStart w:id="160" w:name="_Toc515968768"/>
      <w:bookmarkStart w:id="161" w:name="_Toc515968769"/>
      <w:bookmarkStart w:id="162" w:name="_Toc515968770"/>
      <w:bookmarkStart w:id="163" w:name="_Toc515968771"/>
      <w:bookmarkStart w:id="164" w:name="_Toc515968774"/>
      <w:bookmarkStart w:id="165" w:name="_Toc515968775"/>
      <w:bookmarkStart w:id="166" w:name="_Toc515968776"/>
      <w:bookmarkStart w:id="167" w:name="_Toc515968777"/>
      <w:bookmarkStart w:id="168" w:name="_Toc515968778"/>
      <w:bookmarkStart w:id="169" w:name="_Toc515968781"/>
      <w:bookmarkStart w:id="170" w:name="_Toc515968782"/>
      <w:bookmarkStart w:id="171" w:name="_Toc515968785"/>
      <w:bookmarkStart w:id="172" w:name="_Toc515968787"/>
      <w:bookmarkStart w:id="173" w:name="_Toc515968792"/>
      <w:bookmarkStart w:id="174" w:name="_Toc515968793"/>
      <w:bookmarkStart w:id="175" w:name="_Toc515968796"/>
      <w:bookmarkStart w:id="176" w:name="_Toc515968797"/>
      <w:bookmarkStart w:id="177" w:name="_Toc515968800"/>
      <w:bookmarkStart w:id="178" w:name="_Toc515968801"/>
      <w:bookmarkStart w:id="179" w:name="_Toc515968802"/>
      <w:bookmarkStart w:id="180" w:name="_Toc515968803"/>
      <w:bookmarkStart w:id="181" w:name="_Toc515968806"/>
      <w:bookmarkStart w:id="182" w:name="_Toc515968808"/>
      <w:bookmarkStart w:id="183" w:name="_Toc515968809"/>
      <w:bookmarkStart w:id="184" w:name="_Toc515968810"/>
      <w:bookmarkStart w:id="185" w:name="_Toc515968811"/>
      <w:bookmarkStart w:id="186" w:name="_Toc515968812"/>
      <w:bookmarkStart w:id="187" w:name="_Toc515968813"/>
      <w:bookmarkStart w:id="188" w:name="_Toc515968814"/>
      <w:bookmarkStart w:id="189" w:name="_Toc515968815"/>
      <w:bookmarkStart w:id="190" w:name="_Toc515968816"/>
      <w:bookmarkStart w:id="191" w:name="_Toc515968817"/>
      <w:bookmarkStart w:id="192" w:name="_Toc515968818"/>
      <w:bookmarkStart w:id="193" w:name="_Toc515968819"/>
      <w:bookmarkStart w:id="194" w:name="_Toc515968821"/>
      <w:bookmarkStart w:id="195" w:name="_Toc515968823"/>
      <w:bookmarkStart w:id="196" w:name="_Toc515968825"/>
      <w:bookmarkStart w:id="197" w:name="_Toc515968826"/>
      <w:bookmarkStart w:id="198" w:name="_Toc515968827"/>
      <w:bookmarkStart w:id="199" w:name="_Toc515968829"/>
      <w:bookmarkStart w:id="200" w:name="_Toc515968833"/>
      <w:bookmarkStart w:id="201" w:name="_Toc515968834"/>
      <w:bookmarkStart w:id="202" w:name="_Toc515968836"/>
      <w:bookmarkStart w:id="203" w:name="_Toc515968837"/>
      <w:bookmarkStart w:id="204" w:name="_Toc515968838"/>
      <w:bookmarkStart w:id="205" w:name="_Toc515968839"/>
      <w:bookmarkStart w:id="206" w:name="_Toc515968840"/>
      <w:bookmarkStart w:id="207" w:name="_Toc515968844"/>
      <w:bookmarkStart w:id="208" w:name="_Toc8562757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9E0CFB">
        <w:rPr>
          <w:color w:val="0070C0"/>
          <w:lang w:val="en-GB"/>
        </w:rPr>
        <w:t>Appendi</w:t>
      </w:r>
      <w:r w:rsidR="00D10644">
        <w:rPr>
          <w:color w:val="0070C0"/>
          <w:lang w:val="en-GB"/>
        </w:rPr>
        <w:t>ces</w:t>
      </w:r>
      <w:bookmarkEnd w:id="208"/>
    </w:p>
    <w:p w14:paraId="3A4445EF" w14:textId="40535991" w:rsidR="00D10644" w:rsidRPr="008947FB" w:rsidRDefault="00D10644" w:rsidP="008947FB">
      <w:pPr>
        <w:pStyle w:val="Heading1"/>
        <w:spacing w:after="120"/>
        <w:jc w:val="both"/>
        <w:rPr>
          <w:color w:val="0070C0"/>
          <w:lang w:val="en-GB"/>
        </w:rPr>
      </w:pPr>
      <w:bookmarkStart w:id="209" w:name="_Toc85627571"/>
      <w:r w:rsidRPr="008947FB">
        <w:rPr>
          <w:color w:val="0070C0"/>
          <w:lang w:val="en-GB"/>
        </w:rPr>
        <w:t>Appendix 1</w:t>
      </w:r>
      <w:r w:rsidR="00983034">
        <w:rPr>
          <w:color w:val="0070C0"/>
          <w:lang w:val="en-GB"/>
        </w:rPr>
        <w:t xml:space="preserve">: </w:t>
      </w:r>
      <w:r w:rsidR="00983034" w:rsidRPr="00983034">
        <w:rPr>
          <w:color w:val="0070C0"/>
          <w:lang w:val="en-GB"/>
        </w:rPr>
        <w:t>Benchmark representation of cost performance and uncertainty</w:t>
      </w:r>
      <w:bookmarkEnd w:id="209"/>
    </w:p>
    <w:p w14:paraId="0111BCD2" w14:textId="0C12E481" w:rsidR="00983034" w:rsidRPr="00983034" w:rsidRDefault="00983034" w:rsidP="00983034">
      <w:pPr>
        <w:jc w:val="both"/>
        <w:rPr>
          <w:rFonts w:ascii="Arial" w:hAnsi="Arial"/>
          <w:sz w:val="22"/>
          <w:szCs w:val="22"/>
          <w:lang w:val="en-GB"/>
        </w:rPr>
      </w:pPr>
      <w:r w:rsidRPr="008947FB">
        <w:rPr>
          <w:rFonts w:ascii="Arial" w:hAnsi="Arial"/>
          <w:sz w:val="22"/>
          <w:szCs w:val="22"/>
          <w:lang w:val="en-GB"/>
        </w:rPr>
        <w:t xml:space="preserve">Cost information is collected from all UK decommissioning operators. Comparable data, such as costs of decommissioning platform wells in the Southern North Sea, is screened against a data quality </w:t>
      </w:r>
      <w:proofErr w:type="gramStart"/>
      <w:r w:rsidRPr="008947FB">
        <w:rPr>
          <w:rFonts w:ascii="Arial" w:hAnsi="Arial"/>
          <w:sz w:val="22"/>
          <w:szCs w:val="22"/>
          <w:lang w:val="en-GB"/>
        </w:rPr>
        <w:t>rule-set</w:t>
      </w:r>
      <w:proofErr w:type="gramEnd"/>
      <w:r w:rsidRPr="008947FB">
        <w:rPr>
          <w:rFonts w:ascii="Arial" w:hAnsi="Arial"/>
          <w:sz w:val="22"/>
          <w:szCs w:val="22"/>
          <w:lang w:val="en-GB"/>
        </w:rPr>
        <w:t xml:space="preserve"> (see Appendix</w:t>
      </w:r>
      <w:r w:rsidR="00303F7B">
        <w:rPr>
          <w:rFonts w:ascii="Arial" w:hAnsi="Arial"/>
          <w:sz w:val="22"/>
          <w:szCs w:val="22"/>
          <w:lang w:val="en-GB"/>
        </w:rPr>
        <w:t xml:space="preserve"> 2</w:t>
      </w:r>
      <w:r w:rsidRPr="008947FB">
        <w:rPr>
          <w:rFonts w:ascii="Arial" w:hAnsi="Arial"/>
          <w:sz w:val="22"/>
          <w:szCs w:val="22"/>
          <w:lang w:val="en-GB"/>
        </w:rPr>
        <w:t>), sorted from large to small, and then graphed as in Figure A.1 to characterise the cost variances experienced for that parameter.</w:t>
      </w:r>
    </w:p>
    <w:p w14:paraId="20856F60" w14:textId="77777777" w:rsidR="00983034" w:rsidRPr="00983034" w:rsidRDefault="00983034" w:rsidP="00983034">
      <w:pPr>
        <w:jc w:val="both"/>
        <w:rPr>
          <w:rFonts w:ascii="Arial" w:hAnsi="Arial"/>
          <w:sz w:val="22"/>
          <w:szCs w:val="22"/>
          <w:lang w:val="en-GB"/>
        </w:rPr>
      </w:pPr>
    </w:p>
    <w:p w14:paraId="3A0E7A5C" w14:textId="56D55AC7" w:rsidR="00983034" w:rsidRPr="008947FB" w:rsidRDefault="00983034" w:rsidP="00983034">
      <w:pPr>
        <w:jc w:val="both"/>
        <w:rPr>
          <w:rFonts w:ascii="Arial" w:hAnsi="Arial"/>
          <w:sz w:val="22"/>
          <w:szCs w:val="22"/>
          <w:lang w:val="en-GB"/>
        </w:rPr>
      </w:pPr>
      <w:r w:rsidRPr="008947FB">
        <w:rPr>
          <w:rFonts w:ascii="Arial" w:hAnsi="Arial"/>
          <w:sz w:val="22"/>
          <w:szCs w:val="22"/>
          <w:lang w:val="en-GB"/>
        </w:rPr>
        <w:t xml:space="preserve">Figure </w:t>
      </w:r>
      <w:r w:rsidR="0066766D">
        <w:rPr>
          <w:rFonts w:ascii="Arial" w:hAnsi="Arial"/>
          <w:sz w:val="22"/>
          <w:szCs w:val="22"/>
          <w:lang w:val="en-GB"/>
        </w:rPr>
        <w:t>A.</w:t>
      </w:r>
      <w:r w:rsidRPr="008947FB">
        <w:rPr>
          <w:rFonts w:ascii="Arial" w:hAnsi="Arial"/>
          <w:sz w:val="22"/>
          <w:szCs w:val="22"/>
          <w:lang w:val="en-GB"/>
        </w:rPr>
        <w:t>1 illustrates the definition of several key benchmarking terms used. In the generic example:</w:t>
      </w:r>
    </w:p>
    <w:p w14:paraId="58790183" w14:textId="77777777" w:rsidR="00983034" w:rsidRPr="008947FB" w:rsidRDefault="00983034" w:rsidP="00983034">
      <w:pPr>
        <w:jc w:val="both"/>
        <w:rPr>
          <w:rFonts w:ascii="Arial" w:hAnsi="Arial"/>
          <w:sz w:val="22"/>
          <w:szCs w:val="22"/>
          <w:lang w:val="en-GB"/>
        </w:rPr>
      </w:pPr>
    </w:p>
    <w:p w14:paraId="353BD7E8" w14:textId="77777777" w:rsidR="00983034" w:rsidRPr="008947FB" w:rsidRDefault="00983034" w:rsidP="00983034">
      <w:pPr>
        <w:pStyle w:val="ListParagraph"/>
        <w:numPr>
          <w:ilvl w:val="0"/>
          <w:numId w:val="25"/>
        </w:numPr>
        <w:rPr>
          <w:rFonts w:ascii="Arial" w:hAnsi="Arial"/>
          <w:sz w:val="22"/>
          <w:szCs w:val="22"/>
        </w:rPr>
      </w:pPr>
      <w:r w:rsidRPr="008947FB">
        <w:rPr>
          <w:rFonts w:ascii="Arial" w:hAnsi="Arial"/>
          <w:b/>
          <w:sz w:val="22"/>
          <w:szCs w:val="22"/>
        </w:rPr>
        <w:t>the highest 25% of activity unit costs</w:t>
      </w:r>
      <w:r w:rsidRPr="008947FB">
        <w:rPr>
          <w:rFonts w:ascii="Arial" w:hAnsi="Arial"/>
          <w:sz w:val="22"/>
          <w:szCs w:val="22"/>
        </w:rPr>
        <w:t xml:space="preserve"> were executed for between £20 - £45. Unit costs in this range are referred to as being in the</w:t>
      </w:r>
      <w:r w:rsidRPr="008947FB">
        <w:rPr>
          <w:rFonts w:ascii="Arial" w:hAnsi="Arial"/>
          <w:b/>
          <w:sz w:val="22"/>
          <w:szCs w:val="22"/>
        </w:rPr>
        <w:t xml:space="preserve"> Fourth Quartile</w:t>
      </w:r>
    </w:p>
    <w:p w14:paraId="53D6A68A" w14:textId="77777777" w:rsidR="00983034" w:rsidRPr="008947FB" w:rsidRDefault="00983034" w:rsidP="00983034">
      <w:pPr>
        <w:pStyle w:val="ListParagraph"/>
        <w:numPr>
          <w:ilvl w:val="0"/>
          <w:numId w:val="25"/>
        </w:numPr>
        <w:rPr>
          <w:rFonts w:ascii="Arial" w:hAnsi="Arial"/>
          <w:sz w:val="22"/>
          <w:szCs w:val="22"/>
        </w:rPr>
      </w:pPr>
      <w:r w:rsidRPr="008947FB">
        <w:rPr>
          <w:rFonts w:ascii="Arial" w:hAnsi="Arial"/>
          <w:b/>
          <w:sz w:val="22"/>
          <w:szCs w:val="22"/>
        </w:rPr>
        <w:t>the second highest 25% of activity unit costs</w:t>
      </w:r>
      <w:r w:rsidRPr="008947FB">
        <w:rPr>
          <w:rFonts w:ascii="Arial" w:hAnsi="Arial"/>
          <w:sz w:val="22"/>
          <w:szCs w:val="22"/>
        </w:rPr>
        <w:t xml:space="preserve"> were executed for between £15 - £20. Unit costs in this range are referred to as being in the </w:t>
      </w:r>
      <w:r w:rsidRPr="008947FB">
        <w:rPr>
          <w:rFonts w:ascii="Arial" w:hAnsi="Arial"/>
          <w:b/>
          <w:sz w:val="22"/>
          <w:szCs w:val="22"/>
        </w:rPr>
        <w:t>Third Quartile</w:t>
      </w:r>
    </w:p>
    <w:p w14:paraId="6CBFCC01" w14:textId="77777777" w:rsidR="00983034" w:rsidRPr="008947FB" w:rsidRDefault="00983034" w:rsidP="00983034">
      <w:pPr>
        <w:pStyle w:val="ListParagraph"/>
        <w:numPr>
          <w:ilvl w:val="0"/>
          <w:numId w:val="25"/>
        </w:numPr>
        <w:rPr>
          <w:rFonts w:ascii="Arial" w:hAnsi="Arial"/>
          <w:sz w:val="22"/>
          <w:szCs w:val="22"/>
        </w:rPr>
      </w:pPr>
      <w:r w:rsidRPr="008947FB">
        <w:rPr>
          <w:rFonts w:ascii="Arial" w:hAnsi="Arial"/>
          <w:b/>
          <w:sz w:val="22"/>
          <w:szCs w:val="22"/>
        </w:rPr>
        <w:t>the second lowest 25% of activity unit costs</w:t>
      </w:r>
      <w:r w:rsidRPr="008947FB">
        <w:rPr>
          <w:rFonts w:ascii="Arial" w:hAnsi="Arial"/>
          <w:sz w:val="22"/>
          <w:szCs w:val="22"/>
        </w:rPr>
        <w:t xml:space="preserve"> were executed for between £11 - £15. Unit costs in this range are referred to as being in the </w:t>
      </w:r>
      <w:r w:rsidRPr="008947FB">
        <w:rPr>
          <w:rFonts w:ascii="Arial" w:hAnsi="Arial"/>
          <w:b/>
          <w:sz w:val="22"/>
          <w:szCs w:val="22"/>
        </w:rPr>
        <w:t>Second Quartile</w:t>
      </w:r>
    </w:p>
    <w:p w14:paraId="15023455" w14:textId="77777777" w:rsidR="00983034" w:rsidRPr="008947FB" w:rsidRDefault="00983034" w:rsidP="00983034">
      <w:pPr>
        <w:pStyle w:val="ListParagraph"/>
        <w:numPr>
          <w:ilvl w:val="0"/>
          <w:numId w:val="25"/>
        </w:numPr>
        <w:rPr>
          <w:rFonts w:ascii="Arial" w:hAnsi="Arial"/>
          <w:sz w:val="22"/>
          <w:szCs w:val="22"/>
        </w:rPr>
      </w:pPr>
      <w:r w:rsidRPr="008947FB">
        <w:rPr>
          <w:rFonts w:ascii="Arial" w:hAnsi="Arial"/>
          <w:b/>
          <w:sz w:val="22"/>
          <w:szCs w:val="22"/>
        </w:rPr>
        <w:t>the lowest 25% of activity unit costs</w:t>
      </w:r>
      <w:r w:rsidRPr="008947FB">
        <w:rPr>
          <w:rFonts w:ascii="Arial" w:hAnsi="Arial"/>
          <w:sz w:val="22"/>
          <w:szCs w:val="22"/>
        </w:rPr>
        <w:t xml:space="preserve"> were executed for between £5 - £11. Unit costs in this range are referred to as being in the </w:t>
      </w:r>
      <w:r w:rsidRPr="008947FB">
        <w:rPr>
          <w:rFonts w:ascii="Arial" w:hAnsi="Arial"/>
          <w:b/>
          <w:sz w:val="22"/>
          <w:szCs w:val="22"/>
        </w:rPr>
        <w:t>First (or ‘Top’) Quartile</w:t>
      </w:r>
    </w:p>
    <w:p w14:paraId="109E5EFF" w14:textId="77777777" w:rsidR="00983034" w:rsidRPr="008947FB" w:rsidRDefault="00983034" w:rsidP="00983034">
      <w:pPr>
        <w:rPr>
          <w:rFonts w:ascii="Arial" w:hAnsi="Arial"/>
          <w:sz w:val="22"/>
          <w:szCs w:val="22"/>
        </w:rPr>
      </w:pPr>
    </w:p>
    <w:p w14:paraId="26AF265E" w14:textId="77777777" w:rsidR="00983034" w:rsidRPr="008947FB" w:rsidRDefault="00983034" w:rsidP="00983034">
      <w:pPr>
        <w:ind w:left="360"/>
        <w:rPr>
          <w:rFonts w:ascii="Arial" w:hAnsi="Arial"/>
          <w:sz w:val="22"/>
          <w:szCs w:val="22"/>
          <w:lang w:val="en-GB"/>
        </w:rPr>
      </w:pPr>
      <w:r w:rsidRPr="008947FB">
        <w:rPr>
          <w:rFonts w:ascii="Arial" w:hAnsi="Arial"/>
          <w:sz w:val="22"/>
          <w:szCs w:val="22"/>
          <w:lang w:val="en-GB"/>
        </w:rPr>
        <w:t xml:space="preserve">The terms </w:t>
      </w:r>
      <w:r w:rsidRPr="008947FB">
        <w:rPr>
          <w:rFonts w:ascii="Arial" w:hAnsi="Arial"/>
          <w:sz w:val="22"/>
          <w:szCs w:val="22"/>
        </w:rPr>
        <w:t>P</w:t>
      </w:r>
      <w:r w:rsidRPr="008947FB">
        <w:rPr>
          <w:rFonts w:ascii="Arial" w:hAnsi="Arial"/>
          <w:sz w:val="22"/>
          <w:szCs w:val="22"/>
          <w:vertAlign w:val="subscript"/>
        </w:rPr>
        <w:t>25</w:t>
      </w:r>
      <w:r w:rsidRPr="008947FB">
        <w:rPr>
          <w:rFonts w:ascii="Arial" w:hAnsi="Arial"/>
          <w:sz w:val="22"/>
          <w:szCs w:val="22"/>
          <w:lang w:val="en-GB"/>
        </w:rPr>
        <w:t>, P</w:t>
      </w:r>
      <w:r w:rsidRPr="008947FB">
        <w:rPr>
          <w:rFonts w:ascii="Arial" w:hAnsi="Arial"/>
          <w:sz w:val="22"/>
          <w:szCs w:val="22"/>
          <w:vertAlign w:val="subscript"/>
          <w:lang w:val="en-GB"/>
        </w:rPr>
        <w:t>50</w:t>
      </w:r>
      <w:r w:rsidRPr="008947FB">
        <w:rPr>
          <w:rFonts w:ascii="Arial" w:hAnsi="Arial"/>
          <w:sz w:val="22"/>
          <w:szCs w:val="22"/>
          <w:lang w:val="en-GB"/>
        </w:rPr>
        <w:t xml:space="preserve"> and </w:t>
      </w:r>
      <w:r w:rsidRPr="008947FB">
        <w:rPr>
          <w:rFonts w:ascii="Arial" w:hAnsi="Arial"/>
          <w:sz w:val="22"/>
          <w:szCs w:val="22"/>
        </w:rPr>
        <w:t>P</w:t>
      </w:r>
      <w:r w:rsidRPr="008947FB">
        <w:rPr>
          <w:rFonts w:ascii="Arial" w:hAnsi="Arial"/>
          <w:sz w:val="22"/>
          <w:szCs w:val="22"/>
          <w:vertAlign w:val="subscript"/>
        </w:rPr>
        <w:t>75</w:t>
      </w:r>
      <w:r w:rsidRPr="008947FB">
        <w:rPr>
          <w:rFonts w:ascii="Arial" w:hAnsi="Arial"/>
          <w:sz w:val="22"/>
          <w:szCs w:val="22"/>
          <w:lang w:val="en-GB"/>
        </w:rPr>
        <w:t xml:space="preserve"> refer to the unit cost values below which </w:t>
      </w:r>
      <w:r w:rsidRPr="008947FB">
        <w:rPr>
          <w:rFonts w:ascii="Arial" w:hAnsi="Arial"/>
          <w:sz w:val="22"/>
          <w:szCs w:val="22"/>
        </w:rPr>
        <w:t>25</w:t>
      </w:r>
      <w:r w:rsidRPr="008947FB">
        <w:rPr>
          <w:rFonts w:ascii="Arial" w:hAnsi="Arial"/>
          <w:sz w:val="22"/>
          <w:szCs w:val="22"/>
          <w:lang w:val="en-GB"/>
        </w:rPr>
        <w:t xml:space="preserve">%, 50% and </w:t>
      </w:r>
      <w:r w:rsidRPr="008947FB">
        <w:rPr>
          <w:rFonts w:ascii="Arial" w:hAnsi="Arial"/>
          <w:sz w:val="22"/>
          <w:szCs w:val="22"/>
        </w:rPr>
        <w:t>75</w:t>
      </w:r>
      <w:r w:rsidRPr="008947FB">
        <w:rPr>
          <w:rFonts w:ascii="Arial" w:hAnsi="Arial"/>
          <w:sz w:val="22"/>
          <w:szCs w:val="22"/>
          <w:lang w:val="en-GB"/>
        </w:rPr>
        <w:t>% of these activities are executed. The simple relation between these values and the quartiles are illustrated in the figure.</w:t>
      </w:r>
    </w:p>
    <w:p w14:paraId="285FB3CD" w14:textId="77777777" w:rsidR="00983034" w:rsidRPr="008947FB" w:rsidRDefault="00983034" w:rsidP="00983034">
      <w:pPr>
        <w:ind w:left="360"/>
        <w:rPr>
          <w:rFonts w:ascii="Arial" w:hAnsi="Arial"/>
          <w:sz w:val="22"/>
          <w:szCs w:val="22"/>
          <w:lang w:val="en-GB"/>
        </w:rPr>
      </w:pPr>
    </w:p>
    <w:p w14:paraId="7A81762B" w14:textId="4604DFD4" w:rsidR="00983034" w:rsidRPr="00983034" w:rsidRDefault="00983034" w:rsidP="00983034">
      <w:pPr>
        <w:ind w:left="360"/>
        <w:rPr>
          <w:rFonts w:ascii="Arial" w:hAnsi="Arial"/>
          <w:b/>
          <w:sz w:val="22"/>
          <w:szCs w:val="22"/>
          <w:lang w:val="en-GB"/>
        </w:rPr>
      </w:pPr>
      <w:r w:rsidRPr="008947FB">
        <w:rPr>
          <w:rFonts w:ascii="Arial" w:hAnsi="Arial"/>
          <w:b/>
          <w:sz w:val="22"/>
          <w:szCs w:val="22"/>
          <w:lang w:val="en-GB"/>
        </w:rPr>
        <w:t>Figure A.1: Example ‘s-curve’ to illustrate definitions of quartiles and P-values</w:t>
      </w:r>
    </w:p>
    <w:p w14:paraId="539F4063" w14:textId="77777777" w:rsidR="00983034" w:rsidRPr="00983034" w:rsidRDefault="00983034" w:rsidP="00983034">
      <w:pPr>
        <w:jc w:val="both"/>
        <w:rPr>
          <w:rFonts w:ascii="Arial" w:hAnsi="Arial"/>
          <w:sz w:val="22"/>
          <w:szCs w:val="22"/>
          <w:lang w:val="en-GB"/>
        </w:rPr>
      </w:pPr>
    </w:p>
    <w:p w14:paraId="1F75FE0B" w14:textId="77777777" w:rsidR="00983034" w:rsidRPr="00983034" w:rsidRDefault="00983034" w:rsidP="00983034">
      <w:pPr>
        <w:jc w:val="center"/>
        <w:rPr>
          <w:rFonts w:ascii="Arial" w:hAnsi="Arial"/>
          <w:sz w:val="22"/>
          <w:szCs w:val="22"/>
          <w:lang w:val="en-GB"/>
        </w:rPr>
      </w:pPr>
      <w:r w:rsidRPr="00C96551">
        <w:rPr>
          <w:noProof/>
        </w:rPr>
        <w:drawing>
          <wp:inline distT="0" distB="0" distL="0" distR="0" wp14:anchorId="194A2A4C" wp14:editId="4D4574A9">
            <wp:extent cx="4710430" cy="25414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724222" cy="2548864"/>
                    </a:xfrm>
                    <a:prstGeom prst="rect">
                      <a:avLst/>
                    </a:prstGeom>
                  </pic:spPr>
                </pic:pic>
              </a:graphicData>
            </a:graphic>
          </wp:inline>
        </w:drawing>
      </w:r>
    </w:p>
    <w:p w14:paraId="0C9FAAF0" w14:textId="77777777" w:rsidR="00983034" w:rsidRPr="00983034" w:rsidRDefault="00983034" w:rsidP="00983034">
      <w:pPr>
        <w:jc w:val="both"/>
        <w:rPr>
          <w:rFonts w:ascii="Arial" w:hAnsi="Arial"/>
          <w:sz w:val="22"/>
          <w:szCs w:val="22"/>
          <w:lang w:val="en-GB"/>
        </w:rPr>
      </w:pPr>
    </w:p>
    <w:p w14:paraId="646D82D7" w14:textId="77777777" w:rsidR="00983034" w:rsidRPr="00983034" w:rsidRDefault="00983034" w:rsidP="00983034">
      <w:pPr>
        <w:jc w:val="both"/>
        <w:rPr>
          <w:rFonts w:ascii="Arial" w:hAnsi="Arial"/>
          <w:sz w:val="22"/>
          <w:szCs w:val="22"/>
          <w:lang w:val="en-GB"/>
        </w:rPr>
      </w:pPr>
    </w:p>
    <w:p w14:paraId="58416126" w14:textId="77777777" w:rsidR="00983034" w:rsidRPr="00983034" w:rsidRDefault="00983034" w:rsidP="00983034">
      <w:pPr>
        <w:rPr>
          <w:rFonts w:ascii="Arial" w:hAnsi="Arial"/>
          <w:sz w:val="22"/>
          <w:szCs w:val="22"/>
          <w:lang w:val="en-GB"/>
        </w:rPr>
      </w:pPr>
      <w:r w:rsidRPr="00983034">
        <w:rPr>
          <w:rFonts w:ascii="Arial" w:hAnsi="Arial"/>
          <w:sz w:val="22"/>
          <w:szCs w:val="22"/>
          <w:lang w:val="en-GB"/>
        </w:rPr>
        <w:br w:type="page"/>
      </w:r>
    </w:p>
    <w:p w14:paraId="5F38CFFC" w14:textId="77777777" w:rsidR="00983034" w:rsidRPr="008947FB" w:rsidRDefault="00983034" w:rsidP="00983034">
      <w:pPr>
        <w:jc w:val="both"/>
        <w:rPr>
          <w:rFonts w:ascii="Arial" w:hAnsi="Arial"/>
          <w:sz w:val="22"/>
          <w:szCs w:val="22"/>
          <w:lang w:val="en-GB"/>
        </w:rPr>
      </w:pPr>
      <w:r w:rsidRPr="008947FB">
        <w:rPr>
          <w:rFonts w:ascii="Arial" w:hAnsi="Arial"/>
          <w:sz w:val="22"/>
          <w:szCs w:val="22"/>
          <w:lang w:val="en-GB"/>
        </w:rPr>
        <w:t>Other graphs types utilised in this report to illustrate the cost performance data are:</w:t>
      </w:r>
    </w:p>
    <w:p w14:paraId="218FE6F1" w14:textId="77777777" w:rsidR="00983034" w:rsidRPr="008947FB" w:rsidRDefault="00983034" w:rsidP="00983034">
      <w:pPr>
        <w:jc w:val="both"/>
        <w:rPr>
          <w:rFonts w:ascii="Arial" w:hAnsi="Arial"/>
          <w:sz w:val="22"/>
          <w:szCs w:val="22"/>
          <w:lang w:val="en-GB"/>
        </w:rPr>
      </w:pPr>
    </w:p>
    <w:p w14:paraId="289B70B6" w14:textId="2212BEED" w:rsidR="00983034" w:rsidRPr="008947FB" w:rsidRDefault="00983034" w:rsidP="00983034">
      <w:pPr>
        <w:jc w:val="both"/>
        <w:rPr>
          <w:rFonts w:ascii="Arial" w:hAnsi="Arial"/>
          <w:sz w:val="22"/>
          <w:szCs w:val="22"/>
        </w:rPr>
      </w:pPr>
      <w:r w:rsidRPr="008947FB">
        <w:rPr>
          <w:rFonts w:ascii="Arial" w:hAnsi="Arial"/>
          <w:sz w:val="22"/>
          <w:szCs w:val="22"/>
          <w:u w:val="single"/>
        </w:rPr>
        <w:t>Cost trend graphs</w:t>
      </w:r>
      <w:r w:rsidRPr="008947FB">
        <w:rPr>
          <w:rFonts w:ascii="Arial" w:hAnsi="Arial"/>
          <w:sz w:val="22"/>
          <w:szCs w:val="22"/>
        </w:rPr>
        <w:t xml:space="preserve"> (see Figure A.2 exemplar): The graphic illustrates cost and cost uncertainty </w:t>
      </w:r>
      <w:proofErr w:type="gramStart"/>
      <w:r w:rsidRPr="008947FB">
        <w:rPr>
          <w:rFonts w:ascii="Arial" w:hAnsi="Arial"/>
          <w:sz w:val="22"/>
          <w:szCs w:val="22"/>
        </w:rPr>
        <w:t>trends, and</w:t>
      </w:r>
      <w:proofErr w:type="gramEnd"/>
      <w:r w:rsidRPr="008947FB">
        <w:rPr>
          <w:rFonts w:ascii="Arial" w:hAnsi="Arial"/>
          <w:sz w:val="22"/>
          <w:szCs w:val="22"/>
        </w:rPr>
        <w:t xml:space="preserve"> includes examples of the types of insights which can be derived.</w:t>
      </w:r>
    </w:p>
    <w:p w14:paraId="6E3FC2B1" w14:textId="77777777" w:rsidR="00983034" w:rsidRPr="008947FB" w:rsidRDefault="00983034" w:rsidP="00983034">
      <w:pPr>
        <w:jc w:val="both"/>
        <w:rPr>
          <w:rFonts w:ascii="Arial" w:hAnsi="Arial"/>
          <w:sz w:val="22"/>
          <w:szCs w:val="22"/>
          <w:lang w:val="en-GB"/>
        </w:rPr>
      </w:pPr>
    </w:p>
    <w:p w14:paraId="1F1CF292" w14:textId="34288CF0" w:rsidR="00983034" w:rsidRPr="008947FB" w:rsidRDefault="00983034" w:rsidP="00983034">
      <w:pPr>
        <w:jc w:val="both"/>
        <w:rPr>
          <w:rFonts w:ascii="Arial" w:hAnsi="Arial"/>
          <w:b/>
          <w:sz w:val="22"/>
          <w:szCs w:val="22"/>
          <w:lang w:val="en-GB"/>
        </w:rPr>
      </w:pPr>
      <w:r w:rsidRPr="008947FB">
        <w:rPr>
          <w:rFonts w:ascii="Arial" w:hAnsi="Arial"/>
          <w:b/>
          <w:sz w:val="22"/>
          <w:szCs w:val="22"/>
          <w:lang w:val="en-GB"/>
        </w:rPr>
        <w:t>Figure A.2: Example of unit cost trend graphic</w:t>
      </w:r>
    </w:p>
    <w:p w14:paraId="34927EAA" w14:textId="77777777" w:rsidR="00983034" w:rsidRPr="00130368" w:rsidRDefault="00983034" w:rsidP="00983034">
      <w:pPr>
        <w:jc w:val="both"/>
        <w:rPr>
          <w:rFonts w:ascii="Arial" w:hAnsi="Arial"/>
          <w:sz w:val="22"/>
          <w:szCs w:val="22"/>
          <w:highlight w:val="yellow"/>
          <w:lang w:val="en-GB"/>
        </w:rPr>
      </w:pPr>
    </w:p>
    <w:p w14:paraId="7CACC59F" w14:textId="3C6D28A2" w:rsidR="00D10644" w:rsidRPr="00130368" w:rsidRDefault="00983034" w:rsidP="00983034">
      <w:pPr>
        <w:jc w:val="center"/>
        <w:rPr>
          <w:rFonts w:ascii="Arial" w:hAnsi="Arial"/>
          <w:sz w:val="22"/>
          <w:szCs w:val="22"/>
          <w:highlight w:val="yellow"/>
          <w:lang w:val="en-GB"/>
        </w:rPr>
      </w:pPr>
      <w:r w:rsidRPr="00130368">
        <w:rPr>
          <w:noProof/>
          <w:highlight w:val="yellow"/>
        </w:rPr>
        <w:drawing>
          <wp:inline distT="0" distB="0" distL="0" distR="0" wp14:anchorId="7C994312" wp14:editId="1EAEF4EA">
            <wp:extent cx="3980704" cy="2410808"/>
            <wp:effectExtent l="0" t="0" r="127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011269" cy="2429319"/>
                    </a:xfrm>
                    <a:prstGeom prst="rect">
                      <a:avLst/>
                    </a:prstGeom>
                  </pic:spPr>
                </pic:pic>
              </a:graphicData>
            </a:graphic>
          </wp:inline>
        </w:drawing>
      </w:r>
    </w:p>
    <w:p w14:paraId="59B19846" w14:textId="77777777" w:rsidR="00D10644" w:rsidRDefault="00D10644" w:rsidP="00D10644">
      <w:pPr>
        <w:rPr>
          <w:lang w:val="en-GB"/>
        </w:rPr>
      </w:pPr>
    </w:p>
    <w:p w14:paraId="5D1B251B" w14:textId="77777777" w:rsidR="00D10644" w:rsidRPr="008947FB" w:rsidRDefault="00D10644" w:rsidP="008947FB">
      <w:pPr>
        <w:rPr>
          <w:lang w:val="en-GB"/>
        </w:rPr>
      </w:pPr>
    </w:p>
    <w:p w14:paraId="07AAD61C" w14:textId="45CE7F65" w:rsidR="00CE7F11" w:rsidRPr="009E0CFB" w:rsidRDefault="00D10644" w:rsidP="00CE7F11">
      <w:pPr>
        <w:pStyle w:val="Heading1"/>
        <w:spacing w:after="120"/>
        <w:jc w:val="both"/>
        <w:rPr>
          <w:color w:val="0070C0"/>
          <w:lang w:val="en-GB"/>
        </w:rPr>
      </w:pPr>
      <w:bookmarkStart w:id="210" w:name="_Toc85627572"/>
      <w:r>
        <w:rPr>
          <w:color w:val="0070C0"/>
          <w:lang w:val="en-GB"/>
        </w:rPr>
        <w:t>Appendix 2</w:t>
      </w:r>
      <w:r w:rsidR="00983034">
        <w:rPr>
          <w:color w:val="0070C0"/>
          <w:lang w:val="en-GB"/>
        </w:rPr>
        <w:t xml:space="preserve">: </w:t>
      </w:r>
      <w:r w:rsidR="007B2742" w:rsidRPr="009E0CFB">
        <w:rPr>
          <w:color w:val="0070C0"/>
          <w:lang w:val="en-GB"/>
        </w:rPr>
        <w:t xml:space="preserve">Data screening </w:t>
      </w:r>
      <w:proofErr w:type="gramStart"/>
      <w:r w:rsidR="007B2742" w:rsidRPr="009E0CFB">
        <w:rPr>
          <w:color w:val="0070C0"/>
          <w:lang w:val="en-GB"/>
        </w:rPr>
        <w:t>r</w:t>
      </w:r>
      <w:r w:rsidR="00CE7F11" w:rsidRPr="009E0CFB">
        <w:rPr>
          <w:color w:val="0070C0"/>
          <w:lang w:val="en-GB"/>
        </w:rPr>
        <w:t>ule</w:t>
      </w:r>
      <w:r w:rsidR="007B2742" w:rsidRPr="009E0CFB">
        <w:rPr>
          <w:color w:val="0070C0"/>
          <w:lang w:val="en-GB"/>
        </w:rPr>
        <w:t>-set</w:t>
      </w:r>
      <w:bookmarkEnd w:id="210"/>
      <w:proofErr w:type="gramEnd"/>
    </w:p>
    <w:p w14:paraId="3FE4B448" w14:textId="77777777" w:rsidR="00CE7F11" w:rsidRPr="009E0CFB" w:rsidRDefault="00CE7F11" w:rsidP="00CE7F11">
      <w:pPr>
        <w:jc w:val="center"/>
        <w:rPr>
          <w:rFonts w:ascii="Arial" w:hAnsi="Arial"/>
          <w:sz w:val="22"/>
          <w:szCs w:val="22"/>
          <w:lang w:val="en-GB"/>
        </w:rPr>
      </w:pPr>
    </w:p>
    <w:p w14:paraId="399A39DC" w14:textId="1867F8FA" w:rsidR="00BF3679" w:rsidRDefault="00A91DD5" w:rsidP="00CE7F11">
      <w:pPr>
        <w:jc w:val="both"/>
        <w:rPr>
          <w:rFonts w:ascii="Arial" w:hAnsi="Arial"/>
          <w:sz w:val="22"/>
          <w:szCs w:val="22"/>
          <w:lang w:val="en-GB"/>
        </w:rPr>
      </w:pPr>
      <w:r w:rsidRPr="009E0CFB">
        <w:rPr>
          <w:rFonts w:ascii="Arial" w:hAnsi="Arial"/>
          <w:sz w:val="22"/>
          <w:szCs w:val="22"/>
          <w:lang w:val="en-GB"/>
        </w:rPr>
        <w:t xml:space="preserve">A </w:t>
      </w:r>
      <w:r w:rsidR="003524E4">
        <w:rPr>
          <w:rFonts w:ascii="Arial" w:hAnsi="Arial"/>
          <w:sz w:val="22"/>
          <w:szCs w:val="22"/>
          <w:lang w:val="en-GB"/>
        </w:rPr>
        <w:t xml:space="preserve">simple </w:t>
      </w:r>
      <w:proofErr w:type="gramStart"/>
      <w:r w:rsidRPr="009E0CFB">
        <w:rPr>
          <w:rFonts w:ascii="Arial" w:hAnsi="Arial"/>
          <w:sz w:val="22"/>
          <w:szCs w:val="22"/>
          <w:lang w:val="en-GB"/>
        </w:rPr>
        <w:t>rule-set</w:t>
      </w:r>
      <w:proofErr w:type="gramEnd"/>
      <w:r w:rsidRPr="009E0CFB">
        <w:rPr>
          <w:rFonts w:ascii="Arial" w:hAnsi="Arial"/>
          <w:sz w:val="22"/>
          <w:szCs w:val="22"/>
          <w:lang w:val="en-GB"/>
        </w:rPr>
        <w:t xml:space="preserve"> is utili</w:t>
      </w:r>
      <w:r w:rsidR="009E0CFB" w:rsidRPr="009E0CFB">
        <w:rPr>
          <w:rFonts w:ascii="Arial" w:hAnsi="Arial"/>
          <w:sz w:val="22"/>
          <w:szCs w:val="22"/>
          <w:lang w:val="en-GB"/>
        </w:rPr>
        <w:t>s</w:t>
      </w:r>
      <w:r w:rsidRPr="009E0CFB">
        <w:rPr>
          <w:rFonts w:ascii="Arial" w:hAnsi="Arial"/>
          <w:sz w:val="22"/>
          <w:szCs w:val="22"/>
          <w:lang w:val="en-GB"/>
        </w:rPr>
        <w:t>ed</w:t>
      </w:r>
      <w:r w:rsidR="001846F0">
        <w:rPr>
          <w:rFonts w:ascii="Arial" w:hAnsi="Arial"/>
          <w:sz w:val="22"/>
          <w:szCs w:val="22"/>
          <w:lang w:val="en-GB"/>
        </w:rPr>
        <w:t xml:space="preserve"> when </w:t>
      </w:r>
      <w:r w:rsidR="009925AC">
        <w:rPr>
          <w:rFonts w:ascii="Arial" w:hAnsi="Arial"/>
          <w:sz w:val="22"/>
          <w:szCs w:val="22"/>
          <w:lang w:val="en-GB"/>
        </w:rPr>
        <w:t xml:space="preserve">selecting </w:t>
      </w:r>
      <w:r w:rsidR="001846F0">
        <w:rPr>
          <w:rFonts w:ascii="Arial" w:hAnsi="Arial"/>
          <w:sz w:val="22"/>
          <w:szCs w:val="22"/>
          <w:lang w:val="en-GB"/>
        </w:rPr>
        <w:t xml:space="preserve">data for inclusion </w:t>
      </w:r>
      <w:r w:rsidR="005D00C5">
        <w:rPr>
          <w:rFonts w:ascii="Arial" w:hAnsi="Arial"/>
          <w:sz w:val="22"/>
          <w:szCs w:val="22"/>
          <w:lang w:val="en-GB"/>
        </w:rPr>
        <w:t>in the</w:t>
      </w:r>
      <w:r w:rsidR="003524E4">
        <w:rPr>
          <w:rFonts w:ascii="Arial" w:hAnsi="Arial"/>
          <w:sz w:val="22"/>
          <w:szCs w:val="22"/>
          <w:lang w:val="en-GB"/>
        </w:rPr>
        <w:t xml:space="preserve"> </w:t>
      </w:r>
      <w:r w:rsidR="005D00C5">
        <w:rPr>
          <w:rFonts w:ascii="Arial" w:hAnsi="Arial"/>
          <w:sz w:val="22"/>
          <w:szCs w:val="22"/>
          <w:lang w:val="en-GB"/>
        </w:rPr>
        <w:t>benchmark calculation and resulting</w:t>
      </w:r>
      <w:r w:rsidR="003524E4">
        <w:rPr>
          <w:rFonts w:ascii="Arial" w:hAnsi="Arial"/>
          <w:sz w:val="22"/>
          <w:szCs w:val="22"/>
          <w:lang w:val="en-GB"/>
        </w:rPr>
        <w:t xml:space="preserve"> metrics</w:t>
      </w:r>
      <w:r w:rsidR="00BF3679">
        <w:rPr>
          <w:rFonts w:ascii="Arial" w:hAnsi="Arial"/>
          <w:sz w:val="22"/>
          <w:szCs w:val="22"/>
          <w:lang w:val="en-GB"/>
        </w:rPr>
        <w:t>.</w:t>
      </w:r>
      <w:r w:rsidR="001E07CA">
        <w:rPr>
          <w:rFonts w:ascii="Arial" w:hAnsi="Arial"/>
          <w:sz w:val="22"/>
          <w:szCs w:val="22"/>
          <w:lang w:val="en-GB"/>
        </w:rPr>
        <w:t xml:space="preserve"> </w:t>
      </w:r>
      <w:r w:rsidR="00BF3679">
        <w:rPr>
          <w:rFonts w:ascii="Arial" w:hAnsi="Arial"/>
          <w:sz w:val="22"/>
          <w:szCs w:val="22"/>
          <w:lang w:val="en-GB"/>
        </w:rPr>
        <w:t>The main purposes of th</w:t>
      </w:r>
      <w:r w:rsidR="00F12D3C">
        <w:rPr>
          <w:rFonts w:ascii="Arial" w:hAnsi="Arial"/>
          <w:sz w:val="22"/>
          <w:szCs w:val="22"/>
          <w:lang w:val="en-GB"/>
        </w:rPr>
        <w:t>e</w:t>
      </w:r>
      <w:r w:rsidR="00BF3679">
        <w:rPr>
          <w:rFonts w:ascii="Arial" w:hAnsi="Arial"/>
          <w:sz w:val="22"/>
          <w:szCs w:val="22"/>
          <w:lang w:val="en-GB"/>
        </w:rPr>
        <w:t xml:space="preserve"> </w:t>
      </w:r>
      <w:proofErr w:type="gramStart"/>
      <w:r w:rsidR="00BF3679">
        <w:rPr>
          <w:rFonts w:ascii="Arial" w:hAnsi="Arial"/>
          <w:sz w:val="22"/>
          <w:szCs w:val="22"/>
          <w:lang w:val="en-GB"/>
        </w:rPr>
        <w:t>rule-set</w:t>
      </w:r>
      <w:proofErr w:type="gramEnd"/>
      <w:r w:rsidR="00BF3679">
        <w:rPr>
          <w:rFonts w:ascii="Arial" w:hAnsi="Arial"/>
          <w:sz w:val="22"/>
          <w:szCs w:val="22"/>
          <w:lang w:val="en-GB"/>
        </w:rPr>
        <w:t xml:space="preserve"> are to</w:t>
      </w:r>
      <w:r w:rsidR="001E07CA">
        <w:rPr>
          <w:rFonts w:ascii="Arial" w:hAnsi="Arial"/>
          <w:sz w:val="22"/>
          <w:szCs w:val="22"/>
          <w:lang w:val="en-GB"/>
        </w:rPr>
        <w:t xml:space="preserve"> ensure that</w:t>
      </w:r>
      <w:r w:rsidR="00BF3679">
        <w:rPr>
          <w:rFonts w:ascii="Arial" w:hAnsi="Arial"/>
          <w:sz w:val="22"/>
          <w:szCs w:val="22"/>
          <w:lang w:val="en-GB"/>
        </w:rPr>
        <w:t>:</w:t>
      </w:r>
    </w:p>
    <w:p w14:paraId="66794791" w14:textId="77777777" w:rsidR="00BF3679" w:rsidRDefault="00BF3679" w:rsidP="00CE7F11">
      <w:pPr>
        <w:jc w:val="both"/>
        <w:rPr>
          <w:rFonts w:ascii="Arial" w:hAnsi="Arial"/>
          <w:sz w:val="22"/>
          <w:szCs w:val="22"/>
          <w:lang w:val="en-GB"/>
        </w:rPr>
      </w:pPr>
    </w:p>
    <w:p w14:paraId="43E50C44" w14:textId="2A208FC9" w:rsidR="00CE7F11" w:rsidRDefault="003524E4" w:rsidP="001D78D7">
      <w:pPr>
        <w:pStyle w:val="ListParagraph"/>
        <w:numPr>
          <w:ilvl w:val="0"/>
          <w:numId w:val="42"/>
        </w:numPr>
        <w:jc w:val="both"/>
        <w:rPr>
          <w:rFonts w:ascii="Arial" w:hAnsi="Arial"/>
          <w:sz w:val="22"/>
          <w:szCs w:val="22"/>
        </w:rPr>
      </w:pPr>
      <w:r w:rsidRPr="001D78D7">
        <w:rPr>
          <w:rFonts w:ascii="Arial" w:hAnsi="Arial"/>
          <w:sz w:val="22"/>
          <w:szCs w:val="22"/>
        </w:rPr>
        <w:t>data is sufficiently current to be relevant</w:t>
      </w:r>
    </w:p>
    <w:p w14:paraId="1D6A4729" w14:textId="69B68E7D" w:rsidR="001E07CA" w:rsidRDefault="003A4022" w:rsidP="001D78D7">
      <w:pPr>
        <w:pStyle w:val="ListParagraph"/>
        <w:numPr>
          <w:ilvl w:val="0"/>
          <w:numId w:val="42"/>
        </w:numPr>
        <w:jc w:val="both"/>
        <w:rPr>
          <w:rFonts w:ascii="Arial" w:hAnsi="Arial"/>
          <w:sz w:val="22"/>
          <w:szCs w:val="22"/>
        </w:rPr>
      </w:pPr>
      <w:r>
        <w:rPr>
          <w:rFonts w:ascii="Arial" w:hAnsi="Arial"/>
          <w:sz w:val="22"/>
          <w:szCs w:val="22"/>
        </w:rPr>
        <w:t>there are sufficient</w:t>
      </w:r>
      <w:r w:rsidR="0002223A">
        <w:rPr>
          <w:rFonts w:ascii="Arial" w:hAnsi="Arial"/>
          <w:sz w:val="22"/>
          <w:szCs w:val="22"/>
        </w:rPr>
        <w:t xml:space="preserve"> </w:t>
      </w:r>
      <w:r>
        <w:rPr>
          <w:rFonts w:ascii="Arial" w:hAnsi="Arial"/>
          <w:sz w:val="22"/>
          <w:szCs w:val="22"/>
        </w:rPr>
        <w:t>data</w:t>
      </w:r>
      <w:r w:rsidR="0002223A">
        <w:rPr>
          <w:rFonts w:ascii="Arial" w:hAnsi="Arial"/>
          <w:sz w:val="22"/>
          <w:szCs w:val="22"/>
        </w:rPr>
        <w:t xml:space="preserve"> </w:t>
      </w:r>
      <w:r>
        <w:rPr>
          <w:rFonts w:ascii="Arial" w:hAnsi="Arial"/>
          <w:sz w:val="22"/>
          <w:szCs w:val="22"/>
        </w:rPr>
        <w:t>points to create a meaningful s-curve</w:t>
      </w:r>
    </w:p>
    <w:p w14:paraId="44C009D7" w14:textId="37B9C129" w:rsidR="00CD5B41" w:rsidRPr="001D78D7" w:rsidRDefault="003C188C" w:rsidP="001D78D7">
      <w:pPr>
        <w:pStyle w:val="ListParagraph"/>
        <w:numPr>
          <w:ilvl w:val="0"/>
          <w:numId w:val="42"/>
        </w:numPr>
        <w:jc w:val="both"/>
        <w:rPr>
          <w:rFonts w:ascii="Arial" w:hAnsi="Arial"/>
          <w:sz w:val="22"/>
          <w:szCs w:val="22"/>
        </w:rPr>
      </w:pPr>
      <w:r>
        <w:rPr>
          <w:rFonts w:ascii="Arial" w:hAnsi="Arial"/>
          <w:sz w:val="22"/>
          <w:szCs w:val="22"/>
        </w:rPr>
        <w:t xml:space="preserve">high certainty is achieved for </w:t>
      </w:r>
      <w:r w:rsidR="001E2E60">
        <w:rPr>
          <w:rFonts w:ascii="Arial" w:hAnsi="Arial"/>
          <w:sz w:val="22"/>
          <w:szCs w:val="22"/>
        </w:rPr>
        <w:t>the few benchmark categories</w:t>
      </w:r>
      <w:r w:rsidR="00BF1491" w:rsidRPr="005056E1">
        <w:rPr>
          <w:rFonts w:ascii="Arial" w:hAnsi="Arial"/>
          <w:sz w:val="22"/>
          <w:szCs w:val="22"/>
          <w:vertAlign w:val="superscript"/>
        </w:rPr>
        <w:t>1</w:t>
      </w:r>
      <w:r w:rsidR="001E2E60">
        <w:rPr>
          <w:rFonts w:ascii="Arial" w:hAnsi="Arial"/>
          <w:sz w:val="22"/>
          <w:szCs w:val="22"/>
        </w:rPr>
        <w:t xml:space="preserve"> </w:t>
      </w:r>
      <w:r w:rsidR="00B32435">
        <w:rPr>
          <w:rFonts w:ascii="Arial" w:hAnsi="Arial"/>
          <w:sz w:val="22"/>
          <w:szCs w:val="22"/>
        </w:rPr>
        <w:t xml:space="preserve">which are not </w:t>
      </w:r>
      <w:r w:rsidR="00837478">
        <w:rPr>
          <w:rFonts w:ascii="Arial" w:hAnsi="Arial"/>
          <w:sz w:val="22"/>
          <w:szCs w:val="22"/>
        </w:rPr>
        <w:t xml:space="preserve">completely </w:t>
      </w:r>
      <w:r w:rsidR="00B32435">
        <w:rPr>
          <w:rFonts w:ascii="Arial" w:hAnsi="Arial"/>
          <w:sz w:val="22"/>
          <w:szCs w:val="22"/>
        </w:rPr>
        <w:t xml:space="preserve">based on </w:t>
      </w:r>
      <w:r w:rsidR="00163104">
        <w:rPr>
          <w:rFonts w:ascii="Arial" w:hAnsi="Arial"/>
          <w:sz w:val="22"/>
          <w:szCs w:val="22"/>
        </w:rPr>
        <w:t>historic-costs/</w:t>
      </w:r>
      <w:r w:rsidR="00B32435">
        <w:rPr>
          <w:rFonts w:ascii="Arial" w:hAnsi="Arial"/>
          <w:sz w:val="22"/>
          <w:szCs w:val="22"/>
        </w:rPr>
        <w:t xml:space="preserve">actuals </w:t>
      </w:r>
      <w:r w:rsidR="00D00555">
        <w:rPr>
          <w:rFonts w:ascii="Arial" w:hAnsi="Arial"/>
          <w:sz w:val="22"/>
          <w:szCs w:val="22"/>
        </w:rPr>
        <w:t>or fixed-price contracts</w:t>
      </w:r>
    </w:p>
    <w:p w14:paraId="62EAD0C8" w14:textId="50D83303" w:rsidR="00C51189" w:rsidRDefault="00C51189" w:rsidP="00393059">
      <w:pPr>
        <w:ind w:right="-341"/>
        <w:rPr>
          <w:rFonts w:ascii="Arial" w:hAnsi="Arial"/>
          <w:b/>
          <w:color w:val="0070C0"/>
          <w:sz w:val="28"/>
          <w:lang w:val="en-GB"/>
        </w:rPr>
      </w:pPr>
    </w:p>
    <w:p w14:paraId="1129D009" w14:textId="4C5F2573" w:rsidR="007C7F98" w:rsidRPr="007C7F98" w:rsidRDefault="00034027" w:rsidP="00393059">
      <w:pPr>
        <w:ind w:right="-341"/>
        <w:rPr>
          <w:rFonts w:ascii="Arial" w:hAnsi="Arial"/>
          <w:color w:val="0070C0"/>
          <w:sz w:val="24"/>
          <w:lang w:val="en-GB"/>
        </w:rPr>
      </w:pPr>
      <w:r>
        <w:rPr>
          <w:rFonts w:ascii="Arial" w:hAnsi="Arial"/>
          <w:sz w:val="22"/>
          <w:lang w:val="en-GB"/>
        </w:rPr>
        <w:t xml:space="preserve">The </w:t>
      </w:r>
      <w:proofErr w:type="gramStart"/>
      <w:r w:rsidR="00EF3F4D">
        <w:rPr>
          <w:rFonts w:ascii="Arial" w:hAnsi="Arial"/>
          <w:sz w:val="22"/>
          <w:lang w:val="en-GB"/>
        </w:rPr>
        <w:t>rule-set</w:t>
      </w:r>
      <w:proofErr w:type="gramEnd"/>
      <w:r w:rsidR="00EF3F4D">
        <w:rPr>
          <w:rFonts w:ascii="Arial" w:hAnsi="Arial"/>
          <w:sz w:val="22"/>
          <w:lang w:val="en-GB"/>
        </w:rPr>
        <w:t xml:space="preserve"> as</w:t>
      </w:r>
      <w:r w:rsidR="00F1757D">
        <w:rPr>
          <w:rFonts w:ascii="Arial" w:hAnsi="Arial"/>
          <w:sz w:val="22"/>
          <w:lang w:val="en-GB"/>
        </w:rPr>
        <w:t xml:space="preserve"> </w:t>
      </w:r>
      <w:r w:rsidR="00EF3F4D">
        <w:rPr>
          <w:rFonts w:ascii="Arial" w:hAnsi="Arial"/>
          <w:sz w:val="22"/>
          <w:lang w:val="en-GB"/>
        </w:rPr>
        <w:t>of Quarter 2 202</w:t>
      </w:r>
      <w:r w:rsidR="00303F7B">
        <w:rPr>
          <w:rFonts w:ascii="Arial" w:hAnsi="Arial"/>
          <w:sz w:val="22"/>
          <w:lang w:val="en-GB"/>
        </w:rPr>
        <w:t>1</w:t>
      </w:r>
      <w:r w:rsidR="00EF3F4D">
        <w:rPr>
          <w:rFonts w:ascii="Arial" w:hAnsi="Arial"/>
          <w:sz w:val="22"/>
          <w:lang w:val="en-GB"/>
        </w:rPr>
        <w:t xml:space="preserve"> is </w:t>
      </w:r>
      <w:r w:rsidR="00303F7B">
        <w:rPr>
          <w:rFonts w:ascii="Arial" w:hAnsi="Arial"/>
          <w:sz w:val="22"/>
          <w:lang w:val="en-GB"/>
        </w:rPr>
        <w:t>detailed</w:t>
      </w:r>
      <w:r w:rsidR="00EF3F4D">
        <w:rPr>
          <w:rFonts w:ascii="Arial" w:hAnsi="Arial"/>
          <w:sz w:val="22"/>
          <w:lang w:val="en-GB"/>
        </w:rPr>
        <w:t xml:space="preserve"> below:</w:t>
      </w:r>
    </w:p>
    <w:p w14:paraId="0F67266E" w14:textId="77777777" w:rsidR="007C7F98" w:rsidRPr="009E0CFB" w:rsidRDefault="007C7F98" w:rsidP="00393059">
      <w:pPr>
        <w:ind w:right="-341"/>
        <w:rPr>
          <w:rFonts w:ascii="Arial" w:hAnsi="Arial"/>
          <w:b/>
          <w:color w:val="0070C0"/>
          <w:sz w:val="28"/>
          <w:lang w:val="en-GB"/>
        </w:rPr>
      </w:pPr>
    </w:p>
    <w:p w14:paraId="10A66E8F" w14:textId="2AD3810A" w:rsidR="00F577CD" w:rsidRDefault="00F577CD" w:rsidP="00393059">
      <w:pPr>
        <w:rPr>
          <w:rFonts w:ascii="Arial" w:hAnsi="Arial"/>
          <w:sz w:val="22"/>
          <w:szCs w:val="22"/>
        </w:rPr>
      </w:pPr>
    </w:p>
    <w:p w14:paraId="7D77715F" w14:textId="6A453FC0" w:rsidR="005056E1" w:rsidRDefault="005056E1" w:rsidP="00393059">
      <w:pPr>
        <w:rPr>
          <w:rFonts w:ascii="Arial" w:hAnsi="Arial"/>
          <w:sz w:val="22"/>
          <w:szCs w:val="22"/>
        </w:rPr>
      </w:pPr>
    </w:p>
    <w:p w14:paraId="7DAB8B6D" w14:textId="3910DD45" w:rsidR="005056E1" w:rsidRDefault="005056E1" w:rsidP="00393059">
      <w:pPr>
        <w:rPr>
          <w:rFonts w:ascii="Arial" w:hAnsi="Arial"/>
          <w:sz w:val="22"/>
          <w:szCs w:val="22"/>
        </w:rPr>
      </w:pPr>
    </w:p>
    <w:p w14:paraId="57055F88" w14:textId="62B73A84" w:rsidR="005056E1" w:rsidRDefault="00F00F28" w:rsidP="00393059">
      <w:pPr>
        <w:rPr>
          <w:rFonts w:ascii="Arial" w:hAnsi="Arial"/>
          <w:sz w:val="22"/>
          <w:szCs w:val="22"/>
        </w:rPr>
      </w:pPr>
      <w:r w:rsidRPr="00F00F28">
        <w:rPr>
          <w:noProof/>
        </w:rPr>
        <w:drawing>
          <wp:inline distT="0" distB="0" distL="0" distR="0" wp14:anchorId="51B063A2" wp14:editId="6CDEF7E6">
            <wp:extent cx="6120130" cy="3763645"/>
            <wp:effectExtent l="0" t="0" r="0"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3763645"/>
                    </a:xfrm>
                    <a:prstGeom prst="rect">
                      <a:avLst/>
                    </a:prstGeom>
                    <a:noFill/>
                    <a:ln>
                      <a:noFill/>
                    </a:ln>
                  </pic:spPr>
                </pic:pic>
              </a:graphicData>
            </a:graphic>
          </wp:inline>
        </w:drawing>
      </w:r>
    </w:p>
    <w:p w14:paraId="0F67F285" w14:textId="21CF95C3" w:rsidR="005056E1" w:rsidRDefault="005056E1" w:rsidP="00393059">
      <w:pPr>
        <w:rPr>
          <w:rFonts w:ascii="Arial" w:hAnsi="Arial"/>
          <w:sz w:val="22"/>
          <w:szCs w:val="22"/>
        </w:rPr>
      </w:pPr>
    </w:p>
    <w:p w14:paraId="33B10B38" w14:textId="4135E2F8" w:rsidR="005056E1" w:rsidRDefault="009971BD" w:rsidP="00393059">
      <w:pPr>
        <w:rPr>
          <w:rFonts w:ascii="Arial" w:hAnsi="Arial"/>
          <w:sz w:val="22"/>
          <w:szCs w:val="22"/>
        </w:rPr>
      </w:pPr>
      <w:r>
        <w:rPr>
          <w:rFonts w:ascii="Arial" w:hAnsi="Arial"/>
          <w:sz w:val="22"/>
          <w:szCs w:val="22"/>
        </w:rPr>
        <w:br w:type="page"/>
      </w:r>
    </w:p>
    <w:p w14:paraId="167B9E25" w14:textId="663CE57F" w:rsidR="005056E1" w:rsidRPr="006019A3" w:rsidRDefault="005056E1" w:rsidP="00393059">
      <w:pPr>
        <w:rPr>
          <w:rFonts w:ascii="Arial" w:hAnsi="Arial"/>
          <w:sz w:val="22"/>
          <w:szCs w:val="22"/>
        </w:rPr>
      </w:pPr>
    </w:p>
    <w:sectPr w:rsidR="005056E1" w:rsidRPr="006019A3" w:rsidSect="003A3EE0">
      <w:headerReference w:type="default" r:id="rId66"/>
      <w:footerReference w:type="default" r:id="rId67"/>
      <w:endnotePr>
        <w:numFmt w:val="decimal"/>
      </w:endnotePr>
      <w:pgSz w:w="11906" w:h="16838" w:code="9"/>
      <w:pgMar w:top="1134" w:right="1134" w:bottom="1134" w:left="1134" w:header="72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D701D" w14:textId="77777777" w:rsidR="005C35A9" w:rsidRDefault="005C35A9">
      <w:r>
        <w:separator/>
      </w:r>
    </w:p>
  </w:endnote>
  <w:endnote w:type="continuationSeparator" w:id="0">
    <w:p w14:paraId="2A27780C" w14:textId="77777777" w:rsidR="005C35A9" w:rsidRDefault="005C35A9">
      <w:r>
        <w:continuationSeparator/>
      </w:r>
    </w:p>
  </w:endnote>
  <w:endnote w:type="continuationNotice" w:id="1">
    <w:p w14:paraId="5C952AC1" w14:textId="77777777" w:rsidR="005C35A9" w:rsidRDefault="005C3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999"/>
      <w:gridCol w:w="8639"/>
    </w:tblGrid>
    <w:tr w:rsidR="00A64CF0" w14:paraId="136FCD1B" w14:textId="77777777" w:rsidTr="004E648D">
      <w:tc>
        <w:tcPr>
          <w:tcW w:w="918" w:type="dxa"/>
        </w:tcPr>
        <w:p w14:paraId="605E1599" w14:textId="2FBFF750" w:rsidR="00A64CF0" w:rsidRPr="004E648D" w:rsidRDefault="00A64CF0">
          <w:pPr>
            <w:pStyle w:val="Footer"/>
            <w:jc w:val="right"/>
            <w:rPr>
              <w:b/>
              <w:bCs/>
              <w:color w:val="4F81BD"/>
              <w:sz w:val="32"/>
              <w:szCs w:val="32"/>
            </w:rPr>
          </w:pPr>
          <w:r w:rsidRPr="004E648D">
            <w:rPr>
              <w:sz w:val="22"/>
              <w:szCs w:val="22"/>
            </w:rPr>
            <w:fldChar w:fldCharType="begin"/>
          </w:r>
          <w:r w:rsidRPr="004E648D">
            <w:instrText xml:space="preserve"> PAGE   \* MERGEFORMAT </w:instrText>
          </w:r>
          <w:r w:rsidRPr="004E648D">
            <w:rPr>
              <w:sz w:val="22"/>
              <w:szCs w:val="22"/>
            </w:rPr>
            <w:fldChar w:fldCharType="separate"/>
          </w:r>
          <w:r w:rsidRPr="004010B0">
            <w:rPr>
              <w:b/>
              <w:bCs/>
              <w:noProof/>
              <w:color w:val="4F81BD"/>
              <w:sz w:val="32"/>
              <w:szCs w:val="32"/>
            </w:rPr>
            <w:t>5</w:t>
          </w:r>
          <w:r w:rsidRPr="004E648D">
            <w:rPr>
              <w:b/>
              <w:bCs/>
              <w:noProof/>
              <w:color w:val="4F81BD"/>
              <w:sz w:val="32"/>
              <w:szCs w:val="32"/>
            </w:rPr>
            <w:fldChar w:fldCharType="end"/>
          </w:r>
        </w:p>
      </w:tc>
      <w:tc>
        <w:tcPr>
          <w:tcW w:w="7938" w:type="dxa"/>
        </w:tcPr>
        <w:p w14:paraId="146F7889" w14:textId="5EF5E3AD" w:rsidR="00A64CF0" w:rsidRPr="004E648D" w:rsidRDefault="00A64CF0" w:rsidP="004E648D">
          <w:pPr>
            <w:pStyle w:val="Footer"/>
            <w:jc w:val="right"/>
            <w:rPr>
              <w:rFonts w:ascii="Arial" w:hAnsi="Arial" w:cs="Arial"/>
              <w:sz w:val="20"/>
              <w:szCs w:val="20"/>
            </w:rPr>
          </w:pPr>
          <w:r w:rsidRPr="004E648D">
            <w:rPr>
              <w:rFonts w:ascii="Arial" w:hAnsi="Arial" w:cs="Arial"/>
              <w:sz w:val="20"/>
              <w:szCs w:val="20"/>
            </w:rPr>
            <w:t xml:space="preserve">UKCS Decommissioning </w:t>
          </w:r>
          <w:r w:rsidR="00070BFA">
            <w:rPr>
              <w:rFonts w:ascii="Arial" w:hAnsi="Arial" w:cs="Arial"/>
              <w:sz w:val="20"/>
              <w:szCs w:val="20"/>
            </w:rPr>
            <w:t>Benchmar</w:t>
          </w:r>
          <w:r w:rsidR="0042174D">
            <w:rPr>
              <w:rFonts w:ascii="Arial" w:hAnsi="Arial" w:cs="Arial"/>
              <w:sz w:val="20"/>
              <w:szCs w:val="20"/>
            </w:rPr>
            <w:t>k</w:t>
          </w:r>
          <w:r w:rsidR="00070BFA">
            <w:rPr>
              <w:rFonts w:ascii="Arial" w:hAnsi="Arial" w:cs="Arial"/>
              <w:sz w:val="20"/>
              <w:szCs w:val="20"/>
            </w:rPr>
            <w:t>s</w:t>
          </w:r>
          <w:r w:rsidRPr="004E648D">
            <w:rPr>
              <w:rFonts w:ascii="Arial" w:hAnsi="Arial" w:cs="Arial"/>
              <w:sz w:val="20"/>
              <w:szCs w:val="20"/>
            </w:rPr>
            <w:t xml:space="preserve"> - </w:t>
          </w:r>
          <w:r w:rsidR="005C2253">
            <w:rPr>
              <w:rFonts w:ascii="Arial" w:hAnsi="Arial" w:cs="Arial"/>
              <w:sz w:val="20"/>
              <w:szCs w:val="20"/>
            </w:rPr>
            <w:t>2021</w:t>
          </w:r>
        </w:p>
      </w:tc>
    </w:tr>
  </w:tbl>
  <w:p w14:paraId="3AD636AF" w14:textId="41923E33" w:rsidR="00A64CF0" w:rsidRPr="00393059" w:rsidRDefault="00A64CF0" w:rsidP="004412D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5A79F" w14:textId="77777777" w:rsidR="005C35A9" w:rsidRDefault="005C35A9">
      <w:r>
        <w:separator/>
      </w:r>
    </w:p>
  </w:footnote>
  <w:footnote w:type="continuationSeparator" w:id="0">
    <w:p w14:paraId="6825C2B7" w14:textId="77777777" w:rsidR="005C35A9" w:rsidRDefault="005C35A9">
      <w:r>
        <w:continuationSeparator/>
      </w:r>
    </w:p>
  </w:footnote>
  <w:footnote w:type="continuationNotice" w:id="1">
    <w:p w14:paraId="5AB270C8" w14:textId="77777777" w:rsidR="005C35A9" w:rsidRDefault="005C35A9"/>
  </w:footnote>
  <w:footnote w:id="2">
    <w:p w14:paraId="4C5C1999" w14:textId="35B1FAFE" w:rsidR="004412DB" w:rsidRPr="004412DB" w:rsidRDefault="004412DB">
      <w:pPr>
        <w:pStyle w:val="FootnoteText"/>
        <w:rPr>
          <w:sz w:val="12"/>
          <w:szCs w:val="12"/>
          <w:lang w:val="en-GB"/>
        </w:rPr>
      </w:pPr>
      <w:r w:rsidRPr="004412DB">
        <w:rPr>
          <w:rStyle w:val="FootnoteReference"/>
          <w:sz w:val="12"/>
          <w:szCs w:val="12"/>
        </w:rPr>
        <w:footnoteRef/>
      </w:r>
      <w:r w:rsidRPr="004412DB">
        <w:rPr>
          <w:sz w:val="12"/>
          <w:szCs w:val="12"/>
        </w:rPr>
        <w:t xml:space="preserve"> All costs are in £2020 unless otherwise stated</w:t>
      </w:r>
    </w:p>
  </w:footnote>
  <w:footnote w:id="3">
    <w:p w14:paraId="52CEBF1B" w14:textId="0A007AB1" w:rsidR="009911A9" w:rsidRPr="009911A9" w:rsidRDefault="009911A9">
      <w:pPr>
        <w:pStyle w:val="FootnoteText"/>
        <w:rPr>
          <w:sz w:val="12"/>
          <w:szCs w:val="12"/>
          <w:lang w:val="en-GB"/>
        </w:rPr>
      </w:pPr>
      <w:r w:rsidRPr="009911A9">
        <w:rPr>
          <w:rStyle w:val="FootnoteReference"/>
          <w:sz w:val="12"/>
          <w:szCs w:val="12"/>
        </w:rPr>
        <w:footnoteRef/>
      </w:r>
      <w:r w:rsidRPr="009911A9">
        <w:rPr>
          <w:sz w:val="12"/>
          <w:szCs w:val="12"/>
        </w:rPr>
        <w:t xml:space="preserve"> </w:t>
      </w:r>
      <w:r w:rsidR="005E6324">
        <w:rPr>
          <w:sz w:val="12"/>
          <w:szCs w:val="12"/>
        </w:rPr>
        <w:t xml:space="preserve">OGA Cost report 2021 </w:t>
      </w:r>
      <w:r w:rsidR="00BD766E">
        <w:rPr>
          <w:sz w:val="12"/>
          <w:szCs w:val="12"/>
        </w:rPr>
        <w:t>&lt;</w:t>
      </w:r>
      <w:hyperlink r:id="rId1" w:history="1">
        <w:r w:rsidR="00BD766E" w:rsidRPr="00BB2E93">
          <w:rPr>
            <w:rStyle w:val="Hyperlink"/>
            <w:sz w:val="12"/>
            <w:szCs w:val="12"/>
          </w:rPr>
          <w:t>https://www.ogauthority.co.uk/news-publications/publications/2021/ukcs-decommissioning-cost-estimate-2021/</w:t>
        </w:r>
      </w:hyperlink>
      <w:r w:rsidR="00BD766E">
        <w:rPr>
          <w:sz w:val="12"/>
          <w:szCs w:val="12"/>
        </w:rPr>
        <w:t>&gt;</w:t>
      </w:r>
    </w:p>
  </w:footnote>
  <w:footnote w:id="4">
    <w:p w14:paraId="65E405AF" w14:textId="056BEA7E" w:rsidR="00C01296" w:rsidRPr="008947FB" w:rsidRDefault="00C01296">
      <w:pPr>
        <w:pStyle w:val="FootnoteText"/>
        <w:rPr>
          <w:sz w:val="12"/>
          <w:szCs w:val="12"/>
          <w:lang w:val="en-GB"/>
        </w:rPr>
      </w:pPr>
      <w:r w:rsidRPr="0012567B">
        <w:rPr>
          <w:rStyle w:val="FootnoteReference"/>
          <w:sz w:val="12"/>
          <w:szCs w:val="12"/>
        </w:rPr>
        <w:footnoteRef/>
      </w:r>
      <w:r w:rsidRPr="0012567B">
        <w:rPr>
          <w:sz w:val="12"/>
          <w:szCs w:val="12"/>
        </w:rPr>
        <w:t xml:space="preserve"> </w:t>
      </w:r>
      <w:r w:rsidRPr="0012567B">
        <w:rPr>
          <w:sz w:val="12"/>
          <w:szCs w:val="12"/>
          <w:lang w:val="en-GB"/>
        </w:rPr>
        <w:t xml:space="preserve">OGUK </w:t>
      </w:r>
      <w:r w:rsidR="00ED00BA" w:rsidRPr="0012567B">
        <w:rPr>
          <w:sz w:val="12"/>
          <w:szCs w:val="12"/>
          <w:lang w:val="en-GB"/>
        </w:rPr>
        <w:t xml:space="preserve">Work Breakdown Structure </w:t>
      </w:r>
      <w:r w:rsidR="00AA37B7" w:rsidRPr="0012567B">
        <w:rPr>
          <w:sz w:val="12"/>
          <w:szCs w:val="12"/>
          <w:lang w:val="en-GB"/>
        </w:rPr>
        <w:t>G</w:t>
      </w:r>
      <w:r w:rsidR="00ED00BA" w:rsidRPr="0012567B">
        <w:rPr>
          <w:sz w:val="12"/>
          <w:szCs w:val="12"/>
          <w:lang w:val="en-GB"/>
        </w:rPr>
        <w:t>uidelines October 2019</w:t>
      </w:r>
    </w:p>
  </w:footnote>
  <w:footnote w:id="5">
    <w:p w14:paraId="3E31DF30" w14:textId="3861DFC1" w:rsidR="006968F1" w:rsidRPr="008947FB" w:rsidRDefault="006968F1">
      <w:pPr>
        <w:pStyle w:val="FootnoteText"/>
        <w:rPr>
          <w:sz w:val="12"/>
          <w:szCs w:val="12"/>
          <w:lang w:val="en-GB"/>
        </w:rPr>
      </w:pPr>
      <w:r w:rsidRPr="008947FB">
        <w:rPr>
          <w:rStyle w:val="FootnoteReference"/>
          <w:sz w:val="12"/>
          <w:szCs w:val="12"/>
        </w:rPr>
        <w:footnoteRef/>
      </w:r>
      <w:r w:rsidRPr="008947FB">
        <w:rPr>
          <w:sz w:val="12"/>
          <w:szCs w:val="12"/>
        </w:rPr>
        <w:t xml:space="preserve"> Cold Phase is defined as when “Hazards from process hydrocarbons are not present.</w:t>
      </w:r>
      <w:r w:rsidR="00975F13">
        <w:rPr>
          <w:sz w:val="12"/>
          <w:szCs w:val="12"/>
        </w:rPr>
        <w:t xml:space="preserve"> </w:t>
      </w:r>
      <w:r w:rsidRPr="008947FB">
        <w:rPr>
          <w:sz w:val="12"/>
          <w:szCs w:val="12"/>
        </w:rPr>
        <w:t>Sources of process hydrocarbons are isolated and air/water-gapped</w:t>
      </w:r>
      <w:r w:rsidR="00975F13">
        <w:rPr>
          <w:sz w:val="12"/>
          <w:szCs w:val="12"/>
        </w:rPr>
        <w:t>”</w:t>
      </w:r>
    </w:p>
  </w:footnote>
  <w:footnote w:id="6">
    <w:p w14:paraId="14E11F2B" w14:textId="34E9B969" w:rsidR="001479C3" w:rsidRPr="001479C3" w:rsidRDefault="001479C3">
      <w:pPr>
        <w:pStyle w:val="FootnoteText"/>
        <w:rPr>
          <w:sz w:val="12"/>
          <w:szCs w:val="12"/>
          <w:lang w:val="en-GB"/>
        </w:rPr>
      </w:pPr>
      <w:r w:rsidRPr="001479C3">
        <w:rPr>
          <w:rStyle w:val="FootnoteReference"/>
          <w:sz w:val="12"/>
          <w:szCs w:val="12"/>
        </w:rPr>
        <w:footnoteRef/>
      </w:r>
      <w:r w:rsidRPr="001479C3">
        <w:rPr>
          <w:sz w:val="12"/>
          <w:szCs w:val="12"/>
        </w:rPr>
        <w:t xml:space="preserve"> </w:t>
      </w:r>
      <w:r w:rsidRPr="001479C3">
        <w:rPr>
          <w:sz w:val="12"/>
          <w:szCs w:val="12"/>
          <w:lang w:val="en-GB"/>
        </w:rPr>
        <w:t>Data as of October 2021</w:t>
      </w:r>
    </w:p>
  </w:footnote>
  <w:footnote w:id="7">
    <w:p w14:paraId="5A189182" w14:textId="461B4570" w:rsidR="00E17E78" w:rsidRPr="001479C3" w:rsidRDefault="00E17E78">
      <w:pPr>
        <w:pStyle w:val="FootnoteText"/>
        <w:rPr>
          <w:sz w:val="12"/>
          <w:szCs w:val="12"/>
          <w:lang w:val="en-GB"/>
        </w:rPr>
      </w:pPr>
      <w:r w:rsidRPr="001479C3">
        <w:rPr>
          <w:rStyle w:val="FootnoteReference"/>
          <w:sz w:val="12"/>
          <w:szCs w:val="12"/>
        </w:rPr>
        <w:footnoteRef/>
      </w:r>
      <w:r w:rsidRPr="001479C3">
        <w:rPr>
          <w:sz w:val="12"/>
          <w:szCs w:val="12"/>
        </w:rPr>
        <w:t xml:space="preserve"> &lt;</w:t>
      </w:r>
      <w:hyperlink r:id="rId2" w:history="1">
        <w:r w:rsidRPr="001479C3">
          <w:rPr>
            <w:rStyle w:val="Hyperlink"/>
            <w:sz w:val="12"/>
            <w:szCs w:val="12"/>
          </w:rPr>
          <w:t>https://www.ogauthority.co.uk/data-centre/interactive-maps-and-tools/</w:t>
        </w:r>
      </w:hyperlink>
      <w:r w:rsidRPr="001479C3">
        <w:rPr>
          <w:sz w:val="12"/>
          <w:szCs w:val="12"/>
        </w:rPr>
        <w:t>&gt;</w:t>
      </w:r>
    </w:p>
  </w:footnote>
  <w:footnote w:id="8">
    <w:p w14:paraId="7455FC67" w14:textId="0E8D337E" w:rsidR="009B004E" w:rsidRPr="008947FB" w:rsidRDefault="009B004E">
      <w:pPr>
        <w:pStyle w:val="FootnoteText"/>
        <w:rPr>
          <w:sz w:val="12"/>
          <w:szCs w:val="12"/>
          <w:lang w:val="en-GB"/>
        </w:rPr>
      </w:pPr>
      <w:r w:rsidRPr="008947FB">
        <w:rPr>
          <w:rStyle w:val="FootnoteReference"/>
          <w:sz w:val="12"/>
          <w:szCs w:val="12"/>
        </w:rPr>
        <w:footnoteRef/>
      </w:r>
      <w:r w:rsidRPr="008947FB">
        <w:rPr>
          <w:sz w:val="12"/>
          <w:szCs w:val="12"/>
        </w:rPr>
        <w:t xml:space="preserve"> Guidance for applications for suspension of inactive wells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DE7" w14:textId="77777777" w:rsidR="00A64CF0" w:rsidRDefault="005C35A9">
    <w:pPr>
      <w:pStyle w:val="Header"/>
      <w:rPr>
        <w:b/>
        <w:bCs/>
        <w:sz w:val="24"/>
      </w:rPr>
    </w:pPr>
    <w:r>
      <w:rPr>
        <w:b/>
        <w:bCs/>
        <w:noProof/>
        <w:sz w:val="24"/>
      </w:rPr>
      <w:pict w14:anchorId="23BE9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E443CBF" w14:textId="77777777" w:rsidR="00A64CF0" w:rsidRDefault="00A64CF0">
    <w:pPr>
      <w:pStyle w:val="Header"/>
    </w:pPr>
  </w:p>
  <w:p w14:paraId="1ADB76AE" w14:textId="77777777" w:rsidR="00A64CF0" w:rsidRDefault="00A64CF0">
    <w:pPr>
      <w:pStyle w:val="Header"/>
    </w:pPr>
  </w:p>
  <w:p w14:paraId="7064BE76" w14:textId="77777777" w:rsidR="00A64CF0" w:rsidRDefault="00A64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DF4"/>
    <w:multiLevelType w:val="hybridMultilevel"/>
    <w:tmpl w:val="B7FCC4D8"/>
    <w:lvl w:ilvl="0" w:tplc="A3B03290">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30A4797"/>
    <w:multiLevelType w:val="hybridMultilevel"/>
    <w:tmpl w:val="77E4DC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642239"/>
    <w:multiLevelType w:val="multilevel"/>
    <w:tmpl w:val="796A70D4"/>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99041A"/>
    <w:multiLevelType w:val="hybridMultilevel"/>
    <w:tmpl w:val="28720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3830F9"/>
    <w:multiLevelType w:val="hybridMultilevel"/>
    <w:tmpl w:val="031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44317"/>
    <w:multiLevelType w:val="hybridMultilevel"/>
    <w:tmpl w:val="039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87F33"/>
    <w:multiLevelType w:val="hybridMultilevel"/>
    <w:tmpl w:val="3E02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35B1A"/>
    <w:multiLevelType w:val="hybridMultilevel"/>
    <w:tmpl w:val="7BD6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53E72"/>
    <w:multiLevelType w:val="hybridMultilevel"/>
    <w:tmpl w:val="077A5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B1F79"/>
    <w:multiLevelType w:val="hybridMultilevel"/>
    <w:tmpl w:val="39ACE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A542B3"/>
    <w:multiLevelType w:val="hybridMultilevel"/>
    <w:tmpl w:val="1F2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A5E55"/>
    <w:multiLevelType w:val="multilevel"/>
    <w:tmpl w:val="51A46812"/>
    <w:lvl w:ilvl="0">
      <w:start w:val="1"/>
      <w:numFmt w:val="decimal"/>
      <w:lvlText w:val="%1.0"/>
      <w:lvlJc w:val="left"/>
      <w:pPr>
        <w:ind w:left="720" w:hanging="72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CDE1C64"/>
    <w:multiLevelType w:val="hybridMultilevel"/>
    <w:tmpl w:val="AB46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064E5"/>
    <w:multiLevelType w:val="hybridMultilevel"/>
    <w:tmpl w:val="D22E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7AD1"/>
    <w:multiLevelType w:val="hybridMultilevel"/>
    <w:tmpl w:val="D8C0E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3922EB"/>
    <w:multiLevelType w:val="hybridMultilevel"/>
    <w:tmpl w:val="7B82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70A12"/>
    <w:multiLevelType w:val="hybridMultilevel"/>
    <w:tmpl w:val="F9DC3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D1D9D"/>
    <w:multiLevelType w:val="hybridMultilevel"/>
    <w:tmpl w:val="6A2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722F6"/>
    <w:multiLevelType w:val="hybridMultilevel"/>
    <w:tmpl w:val="E1FE5F3E"/>
    <w:lvl w:ilvl="0" w:tplc="581E0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440EB3"/>
    <w:multiLevelType w:val="hybridMultilevel"/>
    <w:tmpl w:val="795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47483"/>
    <w:multiLevelType w:val="hybridMultilevel"/>
    <w:tmpl w:val="2B06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85594"/>
    <w:multiLevelType w:val="hybridMultilevel"/>
    <w:tmpl w:val="C3341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493FAC"/>
    <w:multiLevelType w:val="hybridMultilevel"/>
    <w:tmpl w:val="EA46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136F4"/>
    <w:multiLevelType w:val="hybridMultilevel"/>
    <w:tmpl w:val="B41E98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7D5CF7"/>
    <w:multiLevelType w:val="hybridMultilevel"/>
    <w:tmpl w:val="66EA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11D73"/>
    <w:multiLevelType w:val="hybridMultilevel"/>
    <w:tmpl w:val="D950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06B2D"/>
    <w:multiLevelType w:val="hybridMultilevel"/>
    <w:tmpl w:val="C7CC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C6345C"/>
    <w:multiLevelType w:val="hybridMultilevel"/>
    <w:tmpl w:val="CD70F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4E1F75"/>
    <w:multiLevelType w:val="hybridMultilevel"/>
    <w:tmpl w:val="09684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D35E7"/>
    <w:multiLevelType w:val="hybridMultilevel"/>
    <w:tmpl w:val="2FC88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A77E2A"/>
    <w:multiLevelType w:val="hybridMultilevel"/>
    <w:tmpl w:val="ACFA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667E5"/>
    <w:multiLevelType w:val="hybridMultilevel"/>
    <w:tmpl w:val="EF4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A15FE"/>
    <w:multiLevelType w:val="hybridMultilevel"/>
    <w:tmpl w:val="43A68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C2D17"/>
    <w:multiLevelType w:val="hybridMultilevel"/>
    <w:tmpl w:val="EDC4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80821"/>
    <w:multiLevelType w:val="multilevel"/>
    <w:tmpl w:val="F8E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13321"/>
    <w:multiLevelType w:val="hybridMultilevel"/>
    <w:tmpl w:val="654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B209B"/>
    <w:multiLevelType w:val="hybridMultilevel"/>
    <w:tmpl w:val="43F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A604C"/>
    <w:multiLevelType w:val="hybridMultilevel"/>
    <w:tmpl w:val="E1C6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63801"/>
    <w:multiLevelType w:val="hybridMultilevel"/>
    <w:tmpl w:val="A0E0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C1E2A"/>
    <w:multiLevelType w:val="hybridMultilevel"/>
    <w:tmpl w:val="3F2A8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960D8"/>
    <w:multiLevelType w:val="hybridMultilevel"/>
    <w:tmpl w:val="F9E8F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26D7A"/>
    <w:multiLevelType w:val="hybridMultilevel"/>
    <w:tmpl w:val="3E38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51631"/>
    <w:multiLevelType w:val="hybridMultilevel"/>
    <w:tmpl w:val="43E2B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8"/>
  </w:num>
  <w:num w:numId="4">
    <w:abstractNumId w:val="42"/>
  </w:num>
  <w:num w:numId="5">
    <w:abstractNumId w:val="26"/>
  </w:num>
  <w:num w:numId="6">
    <w:abstractNumId w:val="4"/>
  </w:num>
  <w:num w:numId="7">
    <w:abstractNumId w:val="16"/>
  </w:num>
  <w:num w:numId="8">
    <w:abstractNumId w:val="36"/>
  </w:num>
  <w:num w:numId="9">
    <w:abstractNumId w:val="15"/>
  </w:num>
  <w:num w:numId="10">
    <w:abstractNumId w:val="25"/>
  </w:num>
  <w:num w:numId="11">
    <w:abstractNumId w:val="17"/>
  </w:num>
  <w:num w:numId="12">
    <w:abstractNumId w:val="20"/>
  </w:num>
  <w:num w:numId="13">
    <w:abstractNumId w:val="33"/>
  </w:num>
  <w:num w:numId="14">
    <w:abstractNumId w:val="31"/>
  </w:num>
  <w:num w:numId="15">
    <w:abstractNumId w:val="1"/>
  </w:num>
  <w:num w:numId="16">
    <w:abstractNumId w:val="7"/>
  </w:num>
  <w:num w:numId="17">
    <w:abstractNumId w:val="35"/>
  </w:num>
  <w:num w:numId="18">
    <w:abstractNumId w:val="40"/>
  </w:num>
  <w:num w:numId="19">
    <w:abstractNumId w:val="27"/>
  </w:num>
  <w:num w:numId="20">
    <w:abstractNumId w:val="39"/>
  </w:num>
  <w:num w:numId="21">
    <w:abstractNumId w:val="41"/>
  </w:num>
  <w:num w:numId="22">
    <w:abstractNumId w:val="37"/>
  </w:num>
  <w:num w:numId="23">
    <w:abstractNumId w:val="34"/>
  </w:num>
  <w:num w:numId="24">
    <w:abstractNumId w:val="9"/>
  </w:num>
  <w:num w:numId="25">
    <w:abstractNumId w:val="23"/>
  </w:num>
  <w:num w:numId="26">
    <w:abstractNumId w:val="30"/>
  </w:num>
  <w:num w:numId="27">
    <w:abstractNumId w:val="12"/>
  </w:num>
  <w:num w:numId="28">
    <w:abstractNumId w:val="3"/>
  </w:num>
  <w:num w:numId="29">
    <w:abstractNumId w:val="14"/>
  </w:num>
  <w:num w:numId="30">
    <w:abstractNumId w:val="28"/>
  </w:num>
  <w:num w:numId="31">
    <w:abstractNumId w:val="32"/>
  </w:num>
  <w:num w:numId="32">
    <w:abstractNumId w:val="8"/>
  </w:num>
  <w:num w:numId="33">
    <w:abstractNumId w:val="22"/>
  </w:num>
  <w:num w:numId="34">
    <w:abstractNumId w:val="5"/>
  </w:num>
  <w:num w:numId="35">
    <w:abstractNumId w:val="21"/>
  </w:num>
  <w:num w:numId="36">
    <w:abstractNumId w:val="19"/>
  </w:num>
  <w:num w:numId="37">
    <w:abstractNumId w:val="29"/>
  </w:num>
  <w:num w:numId="38">
    <w:abstractNumId w:val="6"/>
  </w:num>
  <w:num w:numId="39">
    <w:abstractNumId w:val="10"/>
  </w:num>
  <w:num w:numId="40">
    <w:abstractNumId w:val="2"/>
  </w:num>
  <w:num w:numId="41">
    <w:abstractNumId w:val="0"/>
  </w:num>
  <w:num w:numId="42">
    <w:abstractNumId w:val="18"/>
  </w:num>
  <w:num w:numId="4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64"/>
    <w:rsid w:val="00000022"/>
    <w:rsid w:val="000004D7"/>
    <w:rsid w:val="000008F8"/>
    <w:rsid w:val="000009D7"/>
    <w:rsid w:val="00000CA4"/>
    <w:rsid w:val="00001734"/>
    <w:rsid w:val="0000175C"/>
    <w:rsid w:val="00001B11"/>
    <w:rsid w:val="000024E3"/>
    <w:rsid w:val="000028B9"/>
    <w:rsid w:val="000029BF"/>
    <w:rsid w:val="00002B0D"/>
    <w:rsid w:val="00003181"/>
    <w:rsid w:val="00003922"/>
    <w:rsid w:val="00003A36"/>
    <w:rsid w:val="00003CA2"/>
    <w:rsid w:val="0000400B"/>
    <w:rsid w:val="00004283"/>
    <w:rsid w:val="0000428F"/>
    <w:rsid w:val="00004A12"/>
    <w:rsid w:val="00004B0D"/>
    <w:rsid w:val="00004B6F"/>
    <w:rsid w:val="00005781"/>
    <w:rsid w:val="000057F2"/>
    <w:rsid w:val="00006EEB"/>
    <w:rsid w:val="00007524"/>
    <w:rsid w:val="00007541"/>
    <w:rsid w:val="00007B2D"/>
    <w:rsid w:val="00010512"/>
    <w:rsid w:val="0001095E"/>
    <w:rsid w:val="00011607"/>
    <w:rsid w:val="0001258A"/>
    <w:rsid w:val="00012755"/>
    <w:rsid w:val="00012FD4"/>
    <w:rsid w:val="00013464"/>
    <w:rsid w:val="00013490"/>
    <w:rsid w:val="0001355F"/>
    <w:rsid w:val="00013DCA"/>
    <w:rsid w:val="00013F24"/>
    <w:rsid w:val="0001433E"/>
    <w:rsid w:val="00014380"/>
    <w:rsid w:val="000144E5"/>
    <w:rsid w:val="00014665"/>
    <w:rsid w:val="0001497C"/>
    <w:rsid w:val="00014DF1"/>
    <w:rsid w:val="00015449"/>
    <w:rsid w:val="00015600"/>
    <w:rsid w:val="00015952"/>
    <w:rsid w:val="00016148"/>
    <w:rsid w:val="00016232"/>
    <w:rsid w:val="000165AB"/>
    <w:rsid w:val="00016B41"/>
    <w:rsid w:val="00016C0E"/>
    <w:rsid w:val="00016E64"/>
    <w:rsid w:val="00016E6A"/>
    <w:rsid w:val="0001784A"/>
    <w:rsid w:val="00017A9F"/>
    <w:rsid w:val="000202DC"/>
    <w:rsid w:val="00020386"/>
    <w:rsid w:val="00021010"/>
    <w:rsid w:val="000211AE"/>
    <w:rsid w:val="00022004"/>
    <w:rsid w:val="000221C6"/>
    <w:rsid w:val="0002222E"/>
    <w:rsid w:val="0002223A"/>
    <w:rsid w:val="000229FD"/>
    <w:rsid w:val="000233E6"/>
    <w:rsid w:val="00023D24"/>
    <w:rsid w:val="00024309"/>
    <w:rsid w:val="00024694"/>
    <w:rsid w:val="00025423"/>
    <w:rsid w:val="00026FE2"/>
    <w:rsid w:val="0002760C"/>
    <w:rsid w:val="0002768C"/>
    <w:rsid w:val="00030391"/>
    <w:rsid w:val="0003040B"/>
    <w:rsid w:val="00030478"/>
    <w:rsid w:val="00030670"/>
    <w:rsid w:val="00030B41"/>
    <w:rsid w:val="00030E65"/>
    <w:rsid w:val="00031439"/>
    <w:rsid w:val="000315D7"/>
    <w:rsid w:val="0003167D"/>
    <w:rsid w:val="00031923"/>
    <w:rsid w:val="00031CCA"/>
    <w:rsid w:val="00031FEE"/>
    <w:rsid w:val="00032098"/>
    <w:rsid w:val="00032109"/>
    <w:rsid w:val="0003227C"/>
    <w:rsid w:val="00032B62"/>
    <w:rsid w:val="00033319"/>
    <w:rsid w:val="0003344D"/>
    <w:rsid w:val="000338E5"/>
    <w:rsid w:val="00034027"/>
    <w:rsid w:val="00034CB0"/>
    <w:rsid w:val="00035191"/>
    <w:rsid w:val="00035305"/>
    <w:rsid w:val="00035417"/>
    <w:rsid w:val="0003695D"/>
    <w:rsid w:val="00036E87"/>
    <w:rsid w:val="0003714F"/>
    <w:rsid w:val="00037163"/>
    <w:rsid w:val="0003728B"/>
    <w:rsid w:val="00037CE9"/>
    <w:rsid w:val="00037E30"/>
    <w:rsid w:val="00040477"/>
    <w:rsid w:val="00040C44"/>
    <w:rsid w:val="00041349"/>
    <w:rsid w:val="0004143B"/>
    <w:rsid w:val="00041641"/>
    <w:rsid w:val="00041692"/>
    <w:rsid w:val="000417D4"/>
    <w:rsid w:val="00041DA8"/>
    <w:rsid w:val="00042DDF"/>
    <w:rsid w:val="00042EBE"/>
    <w:rsid w:val="00043C10"/>
    <w:rsid w:val="000440A4"/>
    <w:rsid w:val="0004476F"/>
    <w:rsid w:val="000447DE"/>
    <w:rsid w:val="00045467"/>
    <w:rsid w:val="000458BF"/>
    <w:rsid w:val="00045A7D"/>
    <w:rsid w:val="00045FAD"/>
    <w:rsid w:val="00045FF9"/>
    <w:rsid w:val="0004606E"/>
    <w:rsid w:val="00046149"/>
    <w:rsid w:val="00047126"/>
    <w:rsid w:val="00047137"/>
    <w:rsid w:val="000471A8"/>
    <w:rsid w:val="000473BF"/>
    <w:rsid w:val="00047980"/>
    <w:rsid w:val="00047C7D"/>
    <w:rsid w:val="0005000B"/>
    <w:rsid w:val="00050CBC"/>
    <w:rsid w:val="00050E46"/>
    <w:rsid w:val="000516E5"/>
    <w:rsid w:val="00051EFB"/>
    <w:rsid w:val="000522C6"/>
    <w:rsid w:val="00053387"/>
    <w:rsid w:val="0005388B"/>
    <w:rsid w:val="00054999"/>
    <w:rsid w:val="000551D2"/>
    <w:rsid w:val="0005523F"/>
    <w:rsid w:val="000554B9"/>
    <w:rsid w:val="000555F1"/>
    <w:rsid w:val="0005587D"/>
    <w:rsid w:val="00055E43"/>
    <w:rsid w:val="000569C7"/>
    <w:rsid w:val="00056A82"/>
    <w:rsid w:val="00057552"/>
    <w:rsid w:val="00057B81"/>
    <w:rsid w:val="000602FA"/>
    <w:rsid w:val="000611AB"/>
    <w:rsid w:val="0006181F"/>
    <w:rsid w:val="00061B82"/>
    <w:rsid w:val="00061C54"/>
    <w:rsid w:val="000625E3"/>
    <w:rsid w:val="00062F29"/>
    <w:rsid w:val="00063281"/>
    <w:rsid w:val="00063506"/>
    <w:rsid w:val="00063A9D"/>
    <w:rsid w:val="0006455D"/>
    <w:rsid w:val="00064694"/>
    <w:rsid w:val="000651AD"/>
    <w:rsid w:val="00065388"/>
    <w:rsid w:val="00065693"/>
    <w:rsid w:val="00065E2D"/>
    <w:rsid w:val="00065FE8"/>
    <w:rsid w:val="000662C0"/>
    <w:rsid w:val="000667A0"/>
    <w:rsid w:val="00066C06"/>
    <w:rsid w:val="00066EE2"/>
    <w:rsid w:val="000677F4"/>
    <w:rsid w:val="00070273"/>
    <w:rsid w:val="00070920"/>
    <w:rsid w:val="00070BFA"/>
    <w:rsid w:val="00070D30"/>
    <w:rsid w:val="0007117A"/>
    <w:rsid w:val="000716C1"/>
    <w:rsid w:val="00071BA0"/>
    <w:rsid w:val="000724BF"/>
    <w:rsid w:val="00072885"/>
    <w:rsid w:val="00072C4D"/>
    <w:rsid w:val="00072E3E"/>
    <w:rsid w:val="00074A0A"/>
    <w:rsid w:val="00074D92"/>
    <w:rsid w:val="00075041"/>
    <w:rsid w:val="0007507B"/>
    <w:rsid w:val="00075A1B"/>
    <w:rsid w:val="00075A1D"/>
    <w:rsid w:val="00075D33"/>
    <w:rsid w:val="00076518"/>
    <w:rsid w:val="000765C0"/>
    <w:rsid w:val="00076EE2"/>
    <w:rsid w:val="000770E3"/>
    <w:rsid w:val="000779D9"/>
    <w:rsid w:val="00077A5E"/>
    <w:rsid w:val="00077B35"/>
    <w:rsid w:val="00077BE9"/>
    <w:rsid w:val="00077F71"/>
    <w:rsid w:val="0008070C"/>
    <w:rsid w:val="000807ED"/>
    <w:rsid w:val="000808E6"/>
    <w:rsid w:val="000814D5"/>
    <w:rsid w:val="0008173D"/>
    <w:rsid w:val="00081B7C"/>
    <w:rsid w:val="00083156"/>
    <w:rsid w:val="00083368"/>
    <w:rsid w:val="0008418F"/>
    <w:rsid w:val="00084247"/>
    <w:rsid w:val="00084575"/>
    <w:rsid w:val="0008480B"/>
    <w:rsid w:val="000848EB"/>
    <w:rsid w:val="00084C0E"/>
    <w:rsid w:val="00084D7D"/>
    <w:rsid w:val="00085A0C"/>
    <w:rsid w:val="00085D34"/>
    <w:rsid w:val="000860B3"/>
    <w:rsid w:val="000867C6"/>
    <w:rsid w:val="000868F0"/>
    <w:rsid w:val="00086DA2"/>
    <w:rsid w:val="00087A3E"/>
    <w:rsid w:val="00087B6D"/>
    <w:rsid w:val="00087C4E"/>
    <w:rsid w:val="00087F7C"/>
    <w:rsid w:val="000903B7"/>
    <w:rsid w:val="000905A9"/>
    <w:rsid w:val="00090607"/>
    <w:rsid w:val="00090A90"/>
    <w:rsid w:val="00090BC7"/>
    <w:rsid w:val="00090D67"/>
    <w:rsid w:val="000914A7"/>
    <w:rsid w:val="00091AEA"/>
    <w:rsid w:val="00091D67"/>
    <w:rsid w:val="000922BA"/>
    <w:rsid w:val="000923F6"/>
    <w:rsid w:val="000929B7"/>
    <w:rsid w:val="00092A0E"/>
    <w:rsid w:val="00093218"/>
    <w:rsid w:val="00093B18"/>
    <w:rsid w:val="00093EDE"/>
    <w:rsid w:val="00093F39"/>
    <w:rsid w:val="000943BE"/>
    <w:rsid w:val="00094451"/>
    <w:rsid w:val="00094547"/>
    <w:rsid w:val="00095144"/>
    <w:rsid w:val="000955EE"/>
    <w:rsid w:val="00095828"/>
    <w:rsid w:val="0009592B"/>
    <w:rsid w:val="00095FF2"/>
    <w:rsid w:val="000961AD"/>
    <w:rsid w:val="00096345"/>
    <w:rsid w:val="0009693F"/>
    <w:rsid w:val="00096A10"/>
    <w:rsid w:val="00096E3C"/>
    <w:rsid w:val="00097AB6"/>
    <w:rsid w:val="00097ABF"/>
    <w:rsid w:val="000A012C"/>
    <w:rsid w:val="000A032F"/>
    <w:rsid w:val="000A0C4C"/>
    <w:rsid w:val="000A1F18"/>
    <w:rsid w:val="000A2634"/>
    <w:rsid w:val="000A2A14"/>
    <w:rsid w:val="000A2D5C"/>
    <w:rsid w:val="000A3B70"/>
    <w:rsid w:val="000A419A"/>
    <w:rsid w:val="000A41E1"/>
    <w:rsid w:val="000A4486"/>
    <w:rsid w:val="000A467F"/>
    <w:rsid w:val="000A4D38"/>
    <w:rsid w:val="000A4DFF"/>
    <w:rsid w:val="000A50BF"/>
    <w:rsid w:val="000A5128"/>
    <w:rsid w:val="000A598B"/>
    <w:rsid w:val="000A63AC"/>
    <w:rsid w:val="000A6B81"/>
    <w:rsid w:val="000A7211"/>
    <w:rsid w:val="000B0458"/>
    <w:rsid w:val="000B04C6"/>
    <w:rsid w:val="000B0B8F"/>
    <w:rsid w:val="000B0D20"/>
    <w:rsid w:val="000B13C9"/>
    <w:rsid w:val="000B25A3"/>
    <w:rsid w:val="000B2601"/>
    <w:rsid w:val="000B37CE"/>
    <w:rsid w:val="000B3B98"/>
    <w:rsid w:val="000B3E3B"/>
    <w:rsid w:val="000B3FEF"/>
    <w:rsid w:val="000B41FF"/>
    <w:rsid w:val="000B4231"/>
    <w:rsid w:val="000B4401"/>
    <w:rsid w:val="000B443D"/>
    <w:rsid w:val="000B4549"/>
    <w:rsid w:val="000B5592"/>
    <w:rsid w:val="000B59E0"/>
    <w:rsid w:val="000B5B15"/>
    <w:rsid w:val="000B6B66"/>
    <w:rsid w:val="000B727C"/>
    <w:rsid w:val="000B7395"/>
    <w:rsid w:val="000B73FA"/>
    <w:rsid w:val="000B79C2"/>
    <w:rsid w:val="000B7D3A"/>
    <w:rsid w:val="000B7F7E"/>
    <w:rsid w:val="000C04C4"/>
    <w:rsid w:val="000C0778"/>
    <w:rsid w:val="000C10E5"/>
    <w:rsid w:val="000C185A"/>
    <w:rsid w:val="000C18C0"/>
    <w:rsid w:val="000C1ABD"/>
    <w:rsid w:val="000C1AE6"/>
    <w:rsid w:val="000C209F"/>
    <w:rsid w:val="000C216E"/>
    <w:rsid w:val="000C291F"/>
    <w:rsid w:val="000C3434"/>
    <w:rsid w:val="000C3484"/>
    <w:rsid w:val="000C3DF2"/>
    <w:rsid w:val="000C3F61"/>
    <w:rsid w:val="000C4097"/>
    <w:rsid w:val="000C48AB"/>
    <w:rsid w:val="000C4AE2"/>
    <w:rsid w:val="000C4B75"/>
    <w:rsid w:val="000C4DF0"/>
    <w:rsid w:val="000C5023"/>
    <w:rsid w:val="000C51B3"/>
    <w:rsid w:val="000C560F"/>
    <w:rsid w:val="000C5C61"/>
    <w:rsid w:val="000C5DD7"/>
    <w:rsid w:val="000C5E2E"/>
    <w:rsid w:val="000C6477"/>
    <w:rsid w:val="000C7567"/>
    <w:rsid w:val="000C7716"/>
    <w:rsid w:val="000C7BA9"/>
    <w:rsid w:val="000C7DF5"/>
    <w:rsid w:val="000C7E6E"/>
    <w:rsid w:val="000D013C"/>
    <w:rsid w:val="000D0291"/>
    <w:rsid w:val="000D03CB"/>
    <w:rsid w:val="000D0790"/>
    <w:rsid w:val="000D0B79"/>
    <w:rsid w:val="000D0D4D"/>
    <w:rsid w:val="000D0D8C"/>
    <w:rsid w:val="000D1090"/>
    <w:rsid w:val="000D1D0E"/>
    <w:rsid w:val="000D1FF9"/>
    <w:rsid w:val="000D205D"/>
    <w:rsid w:val="000D22B8"/>
    <w:rsid w:val="000D23C6"/>
    <w:rsid w:val="000D2959"/>
    <w:rsid w:val="000D2A78"/>
    <w:rsid w:val="000D3D3B"/>
    <w:rsid w:val="000D4C0B"/>
    <w:rsid w:val="000D4DC2"/>
    <w:rsid w:val="000D55FD"/>
    <w:rsid w:val="000D6022"/>
    <w:rsid w:val="000D6754"/>
    <w:rsid w:val="000D67B5"/>
    <w:rsid w:val="000D67CB"/>
    <w:rsid w:val="000D6C25"/>
    <w:rsid w:val="000D7AFF"/>
    <w:rsid w:val="000E070B"/>
    <w:rsid w:val="000E12C0"/>
    <w:rsid w:val="000E298D"/>
    <w:rsid w:val="000E311F"/>
    <w:rsid w:val="000E3128"/>
    <w:rsid w:val="000E31AF"/>
    <w:rsid w:val="000E3A71"/>
    <w:rsid w:val="000E3EA2"/>
    <w:rsid w:val="000E4275"/>
    <w:rsid w:val="000E4573"/>
    <w:rsid w:val="000E4DA0"/>
    <w:rsid w:val="000E4E3E"/>
    <w:rsid w:val="000E5A20"/>
    <w:rsid w:val="000E61CC"/>
    <w:rsid w:val="000E6326"/>
    <w:rsid w:val="000E67CA"/>
    <w:rsid w:val="000E6D5A"/>
    <w:rsid w:val="000E750B"/>
    <w:rsid w:val="000E7B5D"/>
    <w:rsid w:val="000E7BBB"/>
    <w:rsid w:val="000F0382"/>
    <w:rsid w:val="000F0CD0"/>
    <w:rsid w:val="000F10EE"/>
    <w:rsid w:val="000F17C5"/>
    <w:rsid w:val="000F1DDA"/>
    <w:rsid w:val="000F1E0C"/>
    <w:rsid w:val="000F26DF"/>
    <w:rsid w:val="000F2D2B"/>
    <w:rsid w:val="000F2DDC"/>
    <w:rsid w:val="000F2DE4"/>
    <w:rsid w:val="000F3053"/>
    <w:rsid w:val="000F365C"/>
    <w:rsid w:val="000F376F"/>
    <w:rsid w:val="000F501C"/>
    <w:rsid w:val="000F5393"/>
    <w:rsid w:val="000F5574"/>
    <w:rsid w:val="000F5662"/>
    <w:rsid w:val="000F56B4"/>
    <w:rsid w:val="000F59E2"/>
    <w:rsid w:val="000F5E2F"/>
    <w:rsid w:val="000F63A5"/>
    <w:rsid w:val="000F6457"/>
    <w:rsid w:val="000F6B1F"/>
    <w:rsid w:val="000F6DF5"/>
    <w:rsid w:val="000F6F27"/>
    <w:rsid w:val="000F7977"/>
    <w:rsid w:val="000F7AED"/>
    <w:rsid w:val="000F7D2C"/>
    <w:rsid w:val="001002DE"/>
    <w:rsid w:val="001007B2"/>
    <w:rsid w:val="00100A4E"/>
    <w:rsid w:val="00100C0B"/>
    <w:rsid w:val="0010135B"/>
    <w:rsid w:val="0010152E"/>
    <w:rsid w:val="00101892"/>
    <w:rsid w:val="00101BB2"/>
    <w:rsid w:val="00101C43"/>
    <w:rsid w:val="001021A7"/>
    <w:rsid w:val="0010241E"/>
    <w:rsid w:val="00102EB9"/>
    <w:rsid w:val="00102EDF"/>
    <w:rsid w:val="00103087"/>
    <w:rsid w:val="00103332"/>
    <w:rsid w:val="001035CB"/>
    <w:rsid w:val="001039D3"/>
    <w:rsid w:val="00104B48"/>
    <w:rsid w:val="00104D24"/>
    <w:rsid w:val="00104EF1"/>
    <w:rsid w:val="00105635"/>
    <w:rsid w:val="001059A3"/>
    <w:rsid w:val="00105D7C"/>
    <w:rsid w:val="00106404"/>
    <w:rsid w:val="001075DD"/>
    <w:rsid w:val="00107737"/>
    <w:rsid w:val="0010792E"/>
    <w:rsid w:val="00107A30"/>
    <w:rsid w:val="00107DA1"/>
    <w:rsid w:val="00107E89"/>
    <w:rsid w:val="0011060B"/>
    <w:rsid w:val="00110808"/>
    <w:rsid w:val="00110C8F"/>
    <w:rsid w:val="001119C7"/>
    <w:rsid w:val="00111F52"/>
    <w:rsid w:val="00112472"/>
    <w:rsid w:val="00112D5F"/>
    <w:rsid w:val="00112EB8"/>
    <w:rsid w:val="00112EBA"/>
    <w:rsid w:val="00112F1A"/>
    <w:rsid w:val="0011399C"/>
    <w:rsid w:val="00113EBD"/>
    <w:rsid w:val="00113ED6"/>
    <w:rsid w:val="001140E3"/>
    <w:rsid w:val="00114722"/>
    <w:rsid w:val="00114D85"/>
    <w:rsid w:val="001155D8"/>
    <w:rsid w:val="001157E3"/>
    <w:rsid w:val="00115895"/>
    <w:rsid w:val="00115B0C"/>
    <w:rsid w:val="00115B2E"/>
    <w:rsid w:val="00115DF0"/>
    <w:rsid w:val="00115F56"/>
    <w:rsid w:val="001163FE"/>
    <w:rsid w:val="00116836"/>
    <w:rsid w:val="001170C5"/>
    <w:rsid w:val="00117996"/>
    <w:rsid w:val="00117C2E"/>
    <w:rsid w:val="00117D50"/>
    <w:rsid w:val="00120178"/>
    <w:rsid w:val="001203E6"/>
    <w:rsid w:val="00120A93"/>
    <w:rsid w:val="00120E83"/>
    <w:rsid w:val="001210B3"/>
    <w:rsid w:val="00121675"/>
    <w:rsid w:val="001216D9"/>
    <w:rsid w:val="0012181B"/>
    <w:rsid w:val="001218C6"/>
    <w:rsid w:val="00121F4A"/>
    <w:rsid w:val="001221A4"/>
    <w:rsid w:val="00122873"/>
    <w:rsid w:val="0012291E"/>
    <w:rsid w:val="00122A93"/>
    <w:rsid w:val="00122F07"/>
    <w:rsid w:val="001231E6"/>
    <w:rsid w:val="00123D0C"/>
    <w:rsid w:val="00123D74"/>
    <w:rsid w:val="00124016"/>
    <w:rsid w:val="0012407D"/>
    <w:rsid w:val="001244FB"/>
    <w:rsid w:val="00124839"/>
    <w:rsid w:val="00124AF6"/>
    <w:rsid w:val="0012526B"/>
    <w:rsid w:val="0012567B"/>
    <w:rsid w:val="00125D07"/>
    <w:rsid w:val="00125D83"/>
    <w:rsid w:val="00126A62"/>
    <w:rsid w:val="00126B5F"/>
    <w:rsid w:val="00126FE6"/>
    <w:rsid w:val="0012758F"/>
    <w:rsid w:val="0013008A"/>
    <w:rsid w:val="001312E1"/>
    <w:rsid w:val="00131DC7"/>
    <w:rsid w:val="00132066"/>
    <w:rsid w:val="0013215A"/>
    <w:rsid w:val="0013234F"/>
    <w:rsid w:val="00132EDC"/>
    <w:rsid w:val="00132EE5"/>
    <w:rsid w:val="00133181"/>
    <w:rsid w:val="001332EF"/>
    <w:rsid w:val="0013376C"/>
    <w:rsid w:val="0013387A"/>
    <w:rsid w:val="0013469D"/>
    <w:rsid w:val="001355E8"/>
    <w:rsid w:val="0013560E"/>
    <w:rsid w:val="001359D4"/>
    <w:rsid w:val="00135C50"/>
    <w:rsid w:val="00136889"/>
    <w:rsid w:val="00136972"/>
    <w:rsid w:val="00136F89"/>
    <w:rsid w:val="00137373"/>
    <w:rsid w:val="00137C90"/>
    <w:rsid w:val="00137DDE"/>
    <w:rsid w:val="00140775"/>
    <w:rsid w:val="00140B3F"/>
    <w:rsid w:val="00140EAB"/>
    <w:rsid w:val="00141080"/>
    <w:rsid w:val="00141447"/>
    <w:rsid w:val="00141582"/>
    <w:rsid w:val="001419A3"/>
    <w:rsid w:val="00141E52"/>
    <w:rsid w:val="00142088"/>
    <w:rsid w:val="00142761"/>
    <w:rsid w:val="00142899"/>
    <w:rsid w:val="00142C0B"/>
    <w:rsid w:val="00142DD9"/>
    <w:rsid w:val="00143173"/>
    <w:rsid w:val="001432F4"/>
    <w:rsid w:val="0014333D"/>
    <w:rsid w:val="00143952"/>
    <w:rsid w:val="00143B27"/>
    <w:rsid w:val="00143EBD"/>
    <w:rsid w:val="001444B1"/>
    <w:rsid w:val="00144A0D"/>
    <w:rsid w:val="00144B33"/>
    <w:rsid w:val="00144DB6"/>
    <w:rsid w:val="00144DEF"/>
    <w:rsid w:val="0014560C"/>
    <w:rsid w:val="00145B40"/>
    <w:rsid w:val="00145FC3"/>
    <w:rsid w:val="00145FE4"/>
    <w:rsid w:val="001471AF"/>
    <w:rsid w:val="00147635"/>
    <w:rsid w:val="001478F5"/>
    <w:rsid w:val="001479C3"/>
    <w:rsid w:val="00147AA6"/>
    <w:rsid w:val="00147AE8"/>
    <w:rsid w:val="00150E61"/>
    <w:rsid w:val="0015125E"/>
    <w:rsid w:val="0015163C"/>
    <w:rsid w:val="0015210B"/>
    <w:rsid w:val="001526D2"/>
    <w:rsid w:val="0015277C"/>
    <w:rsid w:val="00152BEB"/>
    <w:rsid w:val="0015345E"/>
    <w:rsid w:val="00153535"/>
    <w:rsid w:val="00153A6D"/>
    <w:rsid w:val="00153AF9"/>
    <w:rsid w:val="00153B80"/>
    <w:rsid w:val="00153FEB"/>
    <w:rsid w:val="001540D6"/>
    <w:rsid w:val="00154322"/>
    <w:rsid w:val="00154804"/>
    <w:rsid w:val="00155143"/>
    <w:rsid w:val="001552C3"/>
    <w:rsid w:val="001553F8"/>
    <w:rsid w:val="0015557F"/>
    <w:rsid w:val="001556A9"/>
    <w:rsid w:val="00155D72"/>
    <w:rsid w:val="00155E9A"/>
    <w:rsid w:val="001561FE"/>
    <w:rsid w:val="00156AC5"/>
    <w:rsid w:val="00156D0B"/>
    <w:rsid w:val="00156F7E"/>
    <w:rsid w:val="001571BE"/>
    <w:rsid w:val="00157357"/>
    <w:rsid w:val="00157DFE"/>
    <w:rsid w:val="00160884"/>
    <w:rsid w:val="0016094F"/>
    <w:rsid w:val="00160BBC"/>
    <w:rsid w:val="00160E34"/>
    <w:rsid w:val="00160F8D"/>
    <w:rsid w:val="0016102B"/>
    <w:rsid w:val="00162548"/>
    <w:rsid w:val="00162564"/>
    <w:rsid w:val="001626B2"/>
    <w:rsid w:val="00162753"/>
    <w:rsid w:val="00162958"/>
    <w:rsid w:val="00162A54"/>
    <w:rsid w:val="00162C23"/>
    <w:rsid w:val="00162DA1"/>
    <w:rsid w:val="00162DF3"/>
    <w:rsid w:val="00163104"/>
    <w:rsid w:val="0016356F"/>
    <w:rsid w:val="00164081"/>
    <w:rsid w:val="001641FA"/>
    <w:rsid w:val="001644F1"/>
    <w:rsid w:val="00164E9A"/>
    <w:rsid w:val="0016560F"/>
    <w:rsid w:val="001658EF"/>
    <w:rsid w:val="001659C4"/>
    <w:rsid w:val="00165BB2"/>
    <w:rsid w:val="00166048"/>
    <w:rsid w:val="001667E0"/>
    <w:rsid w:val="00166B34"/>
    <w:rsid w:val="001671FB"/>
    <w:rsid w:val="00167628"/>
    <w:rsid w:val="001678F8"/>
    <w:rsid w:val="00167902"/>
    <w:rsid w:val="00167B94"/>
    <w:rsid w:val="00170CAB"/>
    <w:rsid w:val="00170D55"/>
    <w:rsid w:val="00171232"/>
    <w:rsid w:val="0017197F"/>
    <w:rsid w:val="001726A6"/>
    <w:rsid w:val="0017338E"/>
    <w:rsid w:val="00173BB3"/>
    <w:rsid w:val="00173D9D"/>
    <w:rsid w:val="00173E29"/>
    <w:rsid w:val="00173E34"/>
    <w:rsid w:val="0017403B"/>
    <w:rsid w:val="001740C3"/>
    <w:rsid w:val="00174DF3"/>
    <w:rsid w:val="00175236"/>
    <w:rsid w:val="001752CC"/>
    <w:rsid w:val="001754B3"/>
    <w:rsid w:val="001756F9"/>
    <w:rsid w:val="001757AF"/>
    <w:rsid w:val="00175816"/>
    <w:rsid w:val="00175E72"/>
    <w:rsid w:val="00175FDF"/>
    <w:rsid w:val="001761A6"/>
    <w:rsid w:val="001764DC"/>
    <w:rsid w:val="00176848"/>
    <w:rsid w:val="00176974"/>
    <w:rsid w:val="00176EB0"/>
    <w:rsid w:val="00177448"/>
    <w:rsid w:val="00177DA5"/>
    <w:rsid w:val="00177ECF"/>
    <w:rsid w:val="00177FAF"/>
    <w:rsid w:val="00177FB9"/>
    <w:rsid w:val="00180026"/>
    <w:rsid w:val="00180064"/>
    <w:rsid w:val="0018035D"/>
    <w:rsid w:val="00180819"/>
    <w:rsid w:val="00180936"/>
    <w:rsid w:val="00180A65"/>
    <w:rsid w:val="00181051"/>
    <w:rsid w:val="00181085"/>
    <w:rsid w:val="00181270"/>
    <w:rsid w:val="0018129B"/>
    <w:rsid w:val="001812A2"/>
    <w:rsid w:val="0018131A"/>
    <w:rsid w:val="00181477"/>
    <w:rsid w:val="001814D4"/>
    <w:rsid w:val="00181976"/>
    <w:rsid w:val="00181A5C"/>
    <w:rsid w:val="00182233"/>
    <w:rsid w:val="00182682"/>
    <w:rsid w:val="00182DD1"/>
    <w:rsid w:val="00183398"/>
    <w:rsid w:val="001846F0"/>
    <w:rsid w:val="00184811"/>
    <w:rsid w:val="00184A74"/>
    <w:rsid w:val="00184AA8"/>
    <w:rsid w:val="0018524F"/>
    <w:rsid w:val="00185519"/>
    <w:rsid w:val="00185999"/>
    <w:rsid w:val="00185AA2"/>
    <w:rsid w:val="0018607C"/>
    <w:rsid w:val="00186636"/>
    <w:rsid w:val="00186C4A"/>
    <w:rsid w:val="001872F8"/>
    <w:rsid w:val="001873C5"/>
    <w:rsid w:val="00187EEB"/>
    <w:rsid w:val="0019009A"/>
    <w:rsid w:val="001902EF"/>
    <w:rsid w:val="00190317"/>
    <w:rsid w:val="0019090A"/>
    <w:rsid w:val="00190C2F"/>
    <w:rsid w:val="00191045"/>
    <w:rsid w:val="00191390"/>
    <w:rsid w:val="0019190B"/>
    <w:rsid w:val="00192033"/>
    <w:rsid w:val="00192137"/>
    <w:rsid w:val="0019224A"/>
    <w:rsid w:val="00192C0D"/>
    <w:rsid w:val="00193996"/>
    <w:rsid w:val="00193C25"/>
    <w:rsid w:val="00194333"/>
    <w:rsid w:val="00195156"/>
    <w:rsid w:val="001952FF"/>
    <w:rsid w:val="001955BD"/>
    <w:rsid w:val="00195B8C"/>
    <w:rsid w:val="00195FFD"/>
    <w:rsid w:val="00196651"/>
    <w:rsid w:val="00197090"/>
    <w:rsid w:val="00197190"/>
    <w:rsid w:val="0019719E"/>
    <w:rsid w:val="001971FF"/>
    <w:rsid w:val="00197998"/>
    <w:rsid w:val="001A0C31"/>
    <w:rsid w:val="001A0E8E"/>
    <w:rsid w:val="001A1407"/>
    <w:rsid w:val="001A14B9"/>
    <w:rsid w:val="001A1B0B"/>
    <w:rsid w:val="001A2D2F"/>
    <w:rsid w:val="001A37F8"/>
    <w:rsid w:val="001A3DE5"/>
    <w:rsid w:val="001A5133"/>
    <w:rsid w:val="001A540D"/>
    <w:rsid w:val="001A543B"/>
    <w:rsid w:val="001A5751"/>
    <w:rsid w:val="001A5775"/>
    <w:rsid w:val="001A5D86"/>
    <w:rsid w:val="001A6014"/>
    <w:rsid w:val="001A6550"/>
    <w:rsid w:val="001A65A0"/>
    <w:rsid w:val="001A799D"/>
    <w:rsid w:val="001A7C10"/>
    <w:rsid w:val="001B0040"/>
    <w:rsid w:val="001B01E0"/>
    <w:rsid w:val="001B064D"/>
    <w:rsid w:val="001B06DF"/>
    <w:rsid w:val="001B0E61"/>
    <w:rsid w:val="001B0EAE"/>
    <w:rsid w:val="001B0ED2"/>
    <w:rsid w:val="001B108C"/>
    <w:rsid w:val="001B1167"/>
    <w:rsid w:val="001B17A2"/>
    <w:rsid w:val="001B2057"/>
    <w:rsid w:val="001B2112"/>
    <w:rsid w:val="001B256D"/>
    <w:rsid w:val="001B2899"/>
    <w:rsid w:val="001B2D55"/>
    <w:rsid w:val="001B33FD"/>
    <w:rsid w:val="001B3578"/>
    <w:rsid w:val="001B35A7"/>
    <w:rsid w:val="001B391C"/>
    <w:rsid w:val="001B3C7A"/>
    <w:rsid w:val="001B4F12"/>
    <w:rsid w:val="001B55A3"/>
    <w:rsid w:val="001B562F"/>
    <w:rsid w:val="001B56BD"/>
    <w:rsid w:val="001B5962"/>
    <w:rsid w:val="001B60DC"/>
    <w:rsid w:val="001B68BE"/>
    <w:rsid w:val="001B6C3E"/>
    <w:rsid w:val="001B718B"/>
    <w:rsid w:val="001B74FC"/>
    <w:rsid w:val="001B77B9"/>
    <w:rsid w:val="001B7AD8"/>
    <w:rsid w:val="001B7C11"/>
    <w:rsid w:val="001B7CD3"/>
    <w:rsid w:val="001C0207"/>
    <w:rsid w:val="001C0292"/>
    <w:rsid w:val="001C0348"/>
    <w:rsid w:val="001C1781"/>
    <w:rsid w:val="001C1908"/>
    <w:rsid w:val="001C1A2B"/>
    <w:rsid w:val="001C1BC0"/>
    <w:rsid w:val="001C1DA8"/>
    <w:rsid w:val="001C206E"/>
    <w:rsid w:val="001C20AC"/>
    <w:rsid w:val="001C2EBE"/>
    <w:rsid w:val="001C3941"/>
    <w:rsid w:val="001C3EC7"/>
    <w:rsid w:val="001C43BB"/>
    <w:rsid w:val="001C458C"/>
    <w:rsid w:val="001C4861"/>
    <w:rsid w:val="001C4B00"/>
    <w:rsid w:val="001C4D07"/>
    <w:rsid w:val="001C52C4"/>
    <w:rsid w:val="001C55CA"/>
    <w:rsid w:val="001C588A"/>
    <w:rsid w:val="001C5A5B"/>
    <w:rsid w:val="001C5D07"/>
    <w:rsid w:val="001C7634"/>
    <w:rsid w:val="001C7843"/>
    <w:rsid w:val="001C7CA9"/>
    <w:rsid w:val="001D0622"/>
    <w:rsid w:val="001D0964"/>
    <w:rsid w:val="001D0B5D"/>
    <w:rsid w:val="001D0C9A"/>
    <w:rsid w:val="001D20C1"/>
    <w:rsid w:val="001D2CC1"/>
    <w:rsid w:val="001D330B"/>
    <w:rsid w:val="001D3B0A"/>
    <w:rsid w:val="001D3C67"/>
    <w:rsid w:val="001D3C71"/>
    <w:rsid w:val="001D4E7E"/>
    <w:rsid w:val="001D5149"/>
    <w:rsid w:val="001D5481"/>
    <w:rsid w:val="001D5722"/>
    <w:rsid w:val="001D57EB"/>
    <w:rsid w:val="001D5FD4"/>
    <w:rsid w:val="001D62EC"/>
    <w:rsid w:val="001D6802"/>
    <w:rsid w:val="001D7218"/>
    <w:rsid w:val="001D73D2"/>
    <w:rsid w:val="001D787E"/>
    <w:rsid w:val="001D78D7"/>
    <w:rsid w:val="001E07CA"/>
    <w:rsid w:val="001E0892"/>
    <w:rsid w:val="001E18A2"/>
    <w:rsid w:val="001E1D0F"/>
    <w:rsid w:val="001E21DC"/>
    <w:rsid w:val="001E2D93"/>
    <w:rsid w:val="001E2E60"/>
    <w:rsid w:val="001E3B1C"/>
    <w:rsid w:val="001E3D60"/>
    <w:rsid w:val="001E3EE8"/>
    <w:rsid w:val="001E3F19"/>
    <w:rsid w:val="001E46E5"/>
    <w:rsid w:val="001E490F"/>
    <w:rsid w:val="001E496B"/>
    <w:rsid w:val="001E4C36"/>
    <w:rsid w:val="001E5374"/>
    <w:rsid w:val="001E54AA"/>
    <w:rsid w:val="001E5686"/>
    <w:rsid w:val="001E5CFA"/>
    <w:rsid w:val="001E6976"/>
    <w:rsid w:val="001E6C6C"/>
    <w:rsid w:val="001E6FBD"/>
    <w:rsid w:val="001E72E9"/>
    <w:rsid w:val="001E7CFA"/>
    <w:rsid w:val="001E7DB0"/>
    <w:rsid w:val="001F0323"/>
    <w:rsid w:val="001F0383"/>
    <w:rsid w:val="001F0869"/>
    <w:rsid w:val="001F0A20"/>
    <w:rsid w:val="001F1DFD"/>
    <w:rsid w:val="001F2291"/>
    <w:rsid w:val="001F22E5"/>
    <w:rsid w:val="001F2798"/>
    <w:rsid w:val="001F30A8"/>
    <w:rsid w:val="001F38BE"/>
    <w:rsid w:val="001F3BD5"/>
    <w:rsid w:val="001F46D5"/>
    <w:rsid w:val="001F4AA4"/>
    <w:rsid w:val="001F4B05"/>
    <w:rsid w:val="001F4B8A"/>
    <w:rsid w:val="001F50B9"/>
    <w:rsid w:val="001F5ADB"/>
    <w:rsid w:val="001F5BB5"/>
    <w:rsid w:val="001F61DA"/>
    <w:rsid w:val="001F6984"/>
    <w:rsid w:val="001F6C35"/>
    <w:rsid w:val="001F7819"/>
    <w:rsid w:val="001F7CBB"/>
    <w:rsid w:val="001F7E7A"/>
    <w:rsid w:val="002000B4"/>
    <w:rsid w:val="00200238"/>
    <w:rsid w:val="002003C9"/>
    <w:rsid w:val="00200A63"/>
    <w:rsid w:val="0020141E"/>
    <w:rsid w:val="002016C1"/>
    <w:rsid w:val="002017FE"/>
    <w:rsid w:val="00201DC8"/>
    <w:rsid w:val="00201E35"/>
    <w:rsid w:val="00202BEE"/>
    <w:rsid w:val="00202E41"/>
    <w:rsid w:val="00203193"/>
    <w:rsid w:val="0020389E"/>
    <w:rsid w:val="00203C50"/>
    <w:rsid w:val="00203F04"/>
    <w:rsid w:val="00203FC3"/>
    <w:rsid w:val="00204099"/>
    <w:rsid w:val="002041E5"/>
    <w:rsid w:val="00204472"/>
    <w:rsid w:val="00204AAB"/>
    <w:rsid w:val="00204CFA"/>
    <w:rsid w:val="0020537A"/>
    <w:rsid w:val="002055E5"/>
    <w:rsid w:val="00205C37"/>
    <w:rsid w:val="00206014"/>
    <w:rsid w:val="00206C6E"/>
    <w:rsid w:val="002073D5"/>
    <w:rsid w:val="00210126"/>
    <w:rsid w:val="00210536"/>
    <w:rsid w:val="002117EB"/>
    <w:rsid w:val="00211DF8"/>
    <w:rsid w:val="00211ED7"/>
    <w:rsid w:val="00211F0D"/>
    <w:rsid w:val="00212240"/>
    <w:rsid w:val="00212E77"/>
    <w:rsid w:val="002135C1"/>
    <w:rsid w:val="0021371B"/>
    <w:rsid w:val="00213CB4"/>
    <w:rsid w:val="00213DB8"/>
    <w:rsid w:val="002146DB"/>
    <w:rsid w:val="002147DA"/>
    <w:rsid w:val="00214AB7"/>
    <w:rsid w:val="00215A56"/>
    <w:rsid w:val="00215C42"/>
    <w:rsid w:val="002165D4"/>
    <w:rsid w:val="002166DA"/>
    <w:rsid w:val="00216A68"/>
    <w:rsid w:val="00217608"/>
    <w:rsid w:val="00217810"/>
    <w:rsid w:val="00217CEE"/>
    <w:rsid w:val="00217EC9"/>
    <w:rsid w:val="002203C6"/>
    <w:rsid w:val="00220460"/>
    <w:rsid w:val="00220516"/>
    <w:rsid w:val="00220C60"/>
    <w:rsid w:val="002210C4"/>
    <w:rsid w:val="00221385"/>
    <w:rsid w:val="002214A7"/>
    <w:rsid w:val="00221F5C"/>
    <w:rsid w:val="00222899"/>
    <w:rsid w:val="0022367C"/>
    <w:rsid w:val="00223C2D"/>
    <w:rsid w:val="00223EC7"/>
    <w:rsid w:val="00224436"/>
    <w:rsid w:val="002244AF"/>
    <w:rsid w:val="00224724"/>
    <w:rsid w:val="00224958"/>
    <w:rsid w:val="0022594A"/>
    <w:rsid w:val="00225C50"/>
    <w:rsid w:val="00225D39"/>
    <w:rsid w:val="00225E44"/>
    <w:rsid w:val="00226245"/>
    <w:rsid w:val="0022694A"/>
    <w:rsid w:val="00226991"/>
    <w:rsid w:val="00226A5C"/>
    <w:rsid w:val="00226BA4"/>
    <w:rsid w:val="00226C62"/>
    <w:rsid w:val="00227088"/>
    <w:rsid w:val="00227778"/>
    <w:rsid w:val="00227D4B"/>
    <w:rsid w:val="00227F2A"/>
    <w:rsid w:val="00230CCC"/>
    <w:rsid w:val="00231064"/>
    <w:rsid w:val="002314B3"/>
    <w:rsid w:val="00231D4E"/>
    <w:rsid w:val="00231E1E"/>
    <w:rsid w:val="00231EC3"/>
    <w:rsid w:val="002323ED"/>
    <w:rsid w:val="002327F2"/>
    <w:rsid w:val="002332C3"/>
    <w:rsid w:val="00233477"/>
    <w:rsid w:val="0023395B"/>
    <w:rsid w:val="002341FC"/>
    <w:rsid w:val="00234ECE"/>
    <w:rsid w:val="00234F0F"/>
    <w:rsid w:val="00235416"/>
    <w:rsid w:val="002355C0"/>
    <w:rsid w:val="00235ACA"/>
    <w:rsid w:val="00235BE7"/>
    <w:rsid w:val="0023629A"/>
    <w:rsid w:val="00236408"/>
    <w:rsid w:val="00236695"/>
    <w:rsid w:val="002368BA"/>
    <w:rsid w:val="0023728F"/>
    <w:rsid w:val="002373A1"/>
    <w:rsid w:val="00237D20"/>
    <w:rsid w:val="002402AD"/>
    <w:rsid w:val="002405AE"/>
    <w:rsid w:val="0024092E"/>
    <w:rsid w:val="00240B7F"/>
    <w:rsid w:val="002413C4"/>
    <w:rsid w:val="002413EE"/>
    <w:rsid w:val="00241485"/>
    <w:rsid w:val="002416C8"/>
    <w:rsid w:val="002417DA"/>
    <w:rsid w:val="002421D8"/>
    <w:rsid w:val="00242995"/>
    <w:rsid w:val="00242FC0"/>
    <w:rsid w:val="00243799"/>
    <w:rsid w:val="002438CA"/>
    <w:rsid w:val="0024425E"/>
    <w:rsid w:val="0024453D"/>
    <w:rsid w:val="00244AFA"/>
    <w:rsid w:val="00244F3C"/>
    <w:rsid w:val="00245233"/>
    <w:rsid w:val="002454D8"/>
    <w:rsid w:val="00246B7C"/>
    <w:rsid w:val="00247947"/>
    <w:rsid w:val="00250DB7"/>
    <w:rsid w:val="00251AAD"/>
    <w:rsid w:val="00251D87"/>
    <w:rsid w:val="00251E43"/>
    <w:rsid w:val="002521E0"/>
    <w:rsid w:val="00253164"/>
    <w:rsid w:val="002531E4"/>
    <w:rsid w:val="00253224"/>
    <w:rsid w:val="00253308"/>
    <w:rsid w:val="00253D0E"/>
    <w:rsid w:val="00254397"/>
    <w:rsid w:val="00254726"/>
    <w:rsid w:val="002550A7"/>
    <w:rsid w:val="0025524F"/>
    <w:rsid w:val="00255292"/>
    <w:rsid w:val="002552C4"/>
    <w:rsid w:val="002555BF"/>
    <w:rsid w:val="002571D6"/>
    <w:rsid w:val="00257A44"/>
    <w:rsid w:val="0026144C"/>
    <w:rsid w:val="002618E1"/>
    <w:rsid w:val="00261AA4"/>
    <w:rsid w:val="00262007"/>
    <w:rsid w:val="002624AB"/>
    <w:rsid w:val="0026288C"/>
    <w:rsid w:val="002631DC"/>
    <w:rsid w:val="002631EE"/>
    <w:rsid w:val="002634B3"/>
    <w:rsid w:val="00263776"/>
    <w:rsid w:val="00263ADC"/>
    <w:rsid w:val="00263C43"/>
    <w:rsid w:val="002641AB"/>
    <w:rsid w:val="00265357"/>
    <w:rsid w:val="00265665"/>
    <w:rsid w:val="00266049"/>
    <w:rsid w:val="002669AC"/>
    <w:rsid w:val="00266BF2"/>
    <w:rsid w:val="00266DCC"/>
    <w:rsid w:val="0026702A"/>
    <w:rsid w:val="00267FFD"/>
    <w:rsid w:val="00270232"/>
    <w:rsid w:val="002703EF"/>
    <w:rsid w:val="00270680"/>
    <w:rsid w:val="00270BA6"/>
    <w:rsid w:val="00270C89"/>
    <w:rsid w:val="002710BA"/>
    <w:rsid w:val="002711A7"/>
    <w:rsid w:val="002717DA"/>
    <w:rsid w:val="0027193F"/>
    <w:rsid w:val="00271A06"/>
    <w:rsid w:val="00272EF4"/>
    <w:rsid w:val="0027358E"/>
    <w:rsid w:val="002738A3"/>
    <w:rsid w:val="002739AB"/>
    <w:rsid w:val="0027480F"/>
    <w:rsid w:val="00274F1D"/>
    <w:rsid w:val="00275042"/>
    <w:rsid w:val="002753A1"/>
    <w:rsid w:val="00275C58"/>
    <w:rsid w:val="00275D75"/>
    <w:rsid w:val="00275E6B"/>
    <w:rsid w:val="00275FD5"/>
    <w:rsid w:val="00276123"/>
    <w:rsid w:val="0027624C"/>
    <w:rsid w:val="00276E3E"/>
    <w:rsid w:val="00277295"/>
    <w:rsid w:val="00277702"/>
    <w:rsid w:val="0027791F"/>
    <w:rsid w:val="00277A16"/>
    <w:rsid w:val="00277DA1"/>
    <w:rsid w:val="00281A03"/>
    <w:rsid w:val="00281C17"/>
    <w:rsid w:val="0028215F"/>
    <w:rsid w:val="002833F9"/>
    <w:rsid w:val="00283646"/>
    <w:rsid w:val="00283C1A"/>
    <w:rsid w:val="00283DA1"/>
    <w:rsid w:val="0028472C"/>
    <w:rsid w:val="00284CE7"/>
    <w:rsid w:val="00285187"/>
    <w:rsid w:val="00285203"/>
    <w:rsid w:val="00285AF7"/>
    <w:rsid w:val="0028601A"/>
    <w:rsid w:val="0028660F"/>
    <w:rsid w:val="002868FF"/>
    <w:rsid w:val="00286B91"/>
    <w:rsid w:val="00286EFD"/>
    <w:rsid w:val="00287137"/>
    <w:rsid w:val="00287349"/>
    <w:rsid w:val="0028760E"/>
    <w:rsid w:val="002902EF"/>
    <w:rsid w:val="0029054C"/>
    <w:rsid w:val="00291122"/>
    <w:rsid w:val="0029153C"/>
    <w:rsid w:val="002916AB"/>
    <w:rsid w:val="0029172B"/>
    <w:rsid w:val="00291844"/>
    <w:rsid w:val="00291981"/>
    <w:rsid w:val="0029238F"/>
    <w:rsid w:val="002928FA"/>
    <w:rsid w:val="00292CE7"/>
    <w:rsid w:val="00292D18"/>
    <w:rsid w:val="00293098"/>
    <w:rsid w:val="00293318"/>
    <w:rsid w:val="00293E40"/>
    <w:rsid w:val="0029507C"/>
    <w:rsid w:val="00295130"/>
    <w:rsid w:val="00295EC8"/>
    <w:rsid w:val="00295EF1"/>
    <w:rsid w:val="00295FAC"/>
    <w:rsid w:val="00296708"/>
    <w:rsid w:val="00296B3D"/>
    <w:rsid w:val="00296B5D"/>
    <w:rsid w:val="00296DBC"/>
    <w:rsid w:val="00297342"/>
    <w:rsid w:val="00297975"/>
    <w:rsid w:val="00297B49"/>
    <w:rsid w:val="002A0056"/>
    <w:rsid w:val="002A0835"/>
    <w:rsid w:val="002A0D0A"/>
    <w:rsid w:val="002A1389"/>
    <w:rsid w:val="002A14B4"/>
    <w:rsid w:val="002A190B"/>
    <w:rsid w:val="002A1AB4"/>
    <w:rsid w:val="002A1B7F"/>
    <w:rsid w:val="002A24DA"/>
    <w:rsid w:val="002A2BCE"/>
    <w:rsid w:val="002A2C24"/>
    <w:rsid w:val="002A2CBA"/>
    <w:rsid w:val="002A2FC6"/>
    <w:rsid w:val="002A3F19"/>
    <w:rsid w:val="002A3F75"/>
    <w:rsid w:val="002A410D"/>
    <w:rsid w:val="002A4220"/>
    <w:rsid w:val="002A5623"/>
    <w:rsid w:val="002A56AD"/>
    <w:rsid w:val="002A60EF"/>
    <w:rsid w:val="002A64F2"/>
    <w:rsid w:val="002A6C70"/>
    <w:rsid w:val="002A6EA7"/>
    <w:rsid w:val="002A7673"/>
    <w:rsid w:val="002A770C"/>
    <w:rsid w:val="002A7726"/>
    <w:rsid w:val="002A79E2"/>
    <w:rsid w:val="002A7B1F"/>
    <w:rsid w:val="002A7CA5"/>
    <w:rsid w:val="002B007A"/>
    <w:rsid w:val="002B0406"/>
    <w:rsid w:val="002B063E"/>
    <w:rsid w:val="002B1147"/>
    <w:rsid w:val="002B1E61"/>
    <w:rsid w:val="002B1EDE"/>
    <w:rsid w:val="002B21B4"/>
    <w:rsid w:val="002B2228"/>
    <w:rsid w:val="002B296B"/>
    <w:rsid w:val="002B2FF2"/>
    <w:rsid w:val="002B3135"/>
    <w:rsid w:val="002B3808"/>
    <w:rsid w:val="002B387F"/>
    <w:rsid w:val="002B39EC"/>
    <w:rsid w:val="002B4ADE"/>
    <w:rsid w:val="002B5622"/>
    <w:rsid w:val="002B5876"/>
    <w:rsid w:val="002B5A68"/>
    <w:rsid w:val="002B6262"/>
    <w:rsid w:val="002B67F8"/>
    <w:rsid w:val="002B707E"/>
    <w:rsid w:val="002C06AD"/>
    <w:rsid w:val="002C0A13"/>
    <w:rsid w:val="002C0CE6"/>
    <w:rsid w:val="002C10F9"/>
    <w:rsid w:val="002C11C7"/>
    <w:rsid w:val="002C1FA9"/>
    <w:rsid w:val="002C20E6"/>
    <w:rsid w:val="002C21EA"/>
    <w:rsid w:val="002C24D7"/>
    <w:rsid w:val="002C27F1"/>
    <w:rsid w:val="002C281B"/>
    <w:rsid w:val="002C2986"/>
    <w:rsid w:val="002C2D88"/>
    <w:rsid w:val="002C2E46"/>
    <w:rsid w:val="002C3028"/>
    <w:rsid w:val="002C307D"/>
    <w:rsid w:val="002C3114"/>
    <w:rsid w:val="002C31D5"/>
    <w:rsid w:val="002C3366"/>
    <w:rsid w:val="002C368D"/>
    <w:rsid w:val="002C37D5"/>
    <w:rsid w:val="002C398D"/>
    <w:rsid w:val="002C3CCE"/>
    <w:rsid w:val="002C3D49"/>
    <w:rsid w:val="002C3F6C"/>
    <w:rsid w:val="002C478A"/>
    <w:rsid w:val="002C49DF"/>
    <w:rsid w:val="002C4D70"/>
    <w:rsid w:val="002C4D84"/>
    <w:rsid w:val="002C4DD8"/>
    <w:rsid w:val="002C514C"/>
    <w:rsid w:val="002C51B3"/>
    <w:rsid w:val="002C58AB"/>
    <w:rsid w:val="002C5C29"/>
    <w:rsid w:val="002C61E1"/>
    <w:rsid w:val="002C63FA"/>
    <w:rsid w:val="002C6BBD"/>
    <w:rsid w:val="002C7126"/>
    <w:rsid w:val="002C7DFD"/>
    <w:rsid w:val="002C7FBB"/>
    <w:rsid w:val="002C7FD0"/>
    <w:rsid w:val="002D0732"/>
    <w:rsid w:val="002D07DC"/>
    <w:rsid w:val="002D0B84"/>
    <w:rsid w:val="002D1375"/>
    <w:rsid w:val="002D149A"/>
    <w:rsid w:val="002D16F1"/>
    <w:rsid w:val="002D17E3"/>
    <w:rsid w:val="002D1BCA"/>
    <w:rsid w:val="002D20BC"/>
    <w:rsid w:val="002D253C"/>
    <w:rsid w:val="002D2969"/>
    <w:rsid w:val="002D2AB0"/>
    <w:rsid w:val="002D2D2A"/>
    <w:rsid w:val="002D2EA5"/>
    <w:rsid w:val="002D31F2"/>
    <w:rsid w:val="002D3204"/>
    <w:rsid w:val="002D33FB"/>
    <w:rsid w:val="002D380A"/>
    <w:rsid w:val="002D38E0"/>
    <w:rsid w:val="002D459A"/>
    <w:rsid w:val="002D489D"/>
    <w:rsid w:val="002D4AFD"/>
    <w:rsid w:val="002D52AA"/>
    <w:rsid w:val="002D52F5"/>
    <w:rsid w:val="002D5FA1"/>
    <w:rsid w:val="002D631F"/>
    <w:rsid w:val="002D643D"/>
    <w:rsid w:val="002D6A53"/>
    <w:rsid w:val="002D6C25"/>
    <w:rsid w:val="002D7A55"/>
    <w:rsid w:val="002E027F"/>
    <w:rsid w:val="002E11CA"/>
    <w:rsid w:val="002E12D0"/>
    <w:rsid w:val="002E1BBB"/>
    <w:rsid w:val="002E1EA8"/>
    <w:rsid w:val="002E1F06"/>
    <w:rsid w:val="002E260F"/>
    <w:rsid w:val="002E2705"/>
    <w:rsid w:val="002E3436"/>
    <w:rsid w:val="002E35B9"/>
    <w:rsid w:val="002E3C68"/>
    <w:rsid w:val="002E3FF2"/>
    <w:rsid w:val="002E40A4"/>
    <w:rsid w:val="002E4213"/>
    <w:rsid w:val="002E472F"/>
    <w:rsid w:val="002E4D81"/>
    <w:rsid w:val="002E508D"/>
    <w:rsid w:val="002E516E"/>
    <w:rsid w:val="002E53D1"/>
    <w:rsid w:val="002E5486"/>
    <w:rsid w:val="002E54E6"/>
    <w:rsid w:val="002E576A"/>
    <w:rsid w:val="002E59D1"/>
    <w:rsid w:val="002E64E4"/>
    <w:rsid w:val="002E6B3C"/>
    <w:rsid w:val="002E7031"/>
    <w:rsid w:val="002E75AE"/>
    <w:rsid w:val="002E76E9"/>
    <w:rsid w:val="002E7F06"/>
    <w:rsid w:val="002F02D0"/>
    <w:rsid w:val="002F0756"/>
    <w:rsid w:val="002F07A6"/>
    <w:rsid w:val="002F12E8"/>
    <w:rsid w:val="002F1AFF"/>
    <w:rsid w:val="002F1DAB"/>
    <w:rsid w:val="002F21C0"/>
    <w:rsid w:val="002F2D0E"/>
    <w:rsid w:val="002F413B"/>
    <w:rsid w:val="002F5F38"/>
    <w:rsid w:val="002F6353"/>
    <w:rsid w:val="002F7129"/>
    <w:rsid w:val="002F77C5"/>
    <w:rsid w:val="002F7A61"/>
    <w:rsid w:val="002F7F22"/>
    <w:rsid w:val="00300487"/>
    <w:rsid w:val="003004C4"/>
    <w:rsid w:val="00300C74"/>
    <w:rsid w:val="00300D5F"/>
    <w:rsid w:val="00300F11"/>
    <w:rsid w:val="0030276B"/>
    <w:rsid w:val="003031B5"/>
    <w:rsid w:val="00303E1A"/>
    <w:rsid w:val="00303F7B"/>
    <w:rsid w:val="00304128"/>
    <w:rsid w:val="00304217"/>
    <w:rsid w:val="003044E6"/>
    <w:rsid w:val="00304CBB"/>
    <w:rsid w:val="00304EF2"/>
    <w:rsid w:val="0030505A"/>
    <w:rsid w:val="0030511A"/>
    <w:rsid w:val="003052ED"/>
    <w:rsid w:val="0030556A"/>
    <w:rsid w:val="003063A0"/>
    <w:rsid w:val="003063AA"/>
    <w:rsid w:val="00306844"/>
    <w:rsid w:val="00306AF6"/>
    <w:rsid w:val="00306CBF"/>
    <w:rsid w:val="00306D8C"/>
    <w:rsid w:val="003071C8"/>
    <w:rsid w:val="0030720A"/>
    <w:rsid w:val="0030778C"/>
    <w:rsid w:val="00310944"/>
    <w:rsid w:val="003111B4"/>
    <w:rsid w:val="0031128F"/>
    <w:rsid w:val="003115EC"/>
    <w:rsid w:val="00311958"/>
    <w:rsid w:val="00311E47"/>
    <w:rsid w:val="003120F0"/>
    <w:rsid w:val="0031213D"/>
    <w:rsid w:val="003124A9"/>
    <w:rsid w:val="00313160"/>
    <w:rsid w:val="0031374B"/>
    <w:rsid w:val="00313D9D"/>
    <w:rsid w:val="00313E31"/>
    <w:rsid w:val="0031434E"/>
    <w:rsid w:val="00315B9C"/>
    <w:rsid w:val="00315D34"/>
    <w:rsid w:val="00315DD8"/>
    <w:rsid w:val="00315EC9"/>
    <w:rsid w:val="00315FF3"/>
    <w:rsid w:val="0031628B"/>
    <w:rsid w:val="00316311"/>
    <w:rsid w:val="00316AD6"/>
    <w:rsid w:val="003173D1"/>
    <w:rsid w:val="003201D4"/>
    <w:rsid w:val="003207BE"/>
    <w:rsid w:val="0032089B"/>
    <w:rsid w:val="003211C0"/>
    <w:rsid w:val="00321281"/>
    <w:rsid w:val="003215BF"/>
    <w:rsid w:val="003221B0"/>
    <w:rsid w:val="00322458"/>
    <w:rsid w:val="0032246C"/>
    <w:rsid w:val="00322AA7"/>
    <w:rsid w:val="00322CF9"/>
    <w:rsid w:val="00322FC4"/>
    <w:rsid w:val="0032301D"/>
    <w:rsid w:val="003231D8"/>
    <w:rsid w:val="003233E9"/>
    <w:rsid w:val="00323593"/>
    <w:rsid w:val="0032384F"/>
    <w:rsid w:val="003239BE"/>
    <w:rsid w:val="00323C26"/>
    <w:rsid w:val="003248D3"/>
    <w:rsid w:val="00324DC1"/>
    <w:rsid w:val="00325634"/>
    <w:rsid w:val="0032639E"/>
    <w:rsid w:val="00326A60"/>
    <w:rsid w:val="00327612"/>
    <w:rsid w:val="00327E72"/>
    <w:rsid w:val="003302D0"/>
    <w:rsid w:val="003303E9"/>
    <w:rsid w:val="00330A4F"/>
    <w:rsid w:val="00331A96"/>
    <w:rsid w:val="00331F44"/>
    <w:rsid w:val="00331F4B"/>
    <w:rsid w:val="003323CB"/>
    <w:rsid w:val="003328EF"/>
    <w:rsid w:val="00332CB5"/>
    <w:rsid w:val="00332FC9"/>
    <w:rsid w:val="00333113"/>
    <w:rsid w:val="00333A24"/>
    <w:rsid w:val="00333C4C"/>
    <w:rsid w:val="00333E8F"/>
    <w:rsid w:val="00333F84"/>
    <w:rsid w:val="003340A3"/>
    <w:rsid w:val="00334576"/>
    <w:rsid w:val="00334F94"/>
    <w:rsid w:val="00334FA7"/>
    <w:rsid w:val="00335151"/>
    <w:rsid w:val="003354E1"/>
    <w:rsid w:val="00335CD2"/>
    <w:rsid w:val="00336CEF"/>
    <w:rsid w:val="00336EFF"/>
    <w:rsid w:val="00337000"/>
    <w:rsid w:val="003376E6"/>
    <w:rsid w:val="00337D20"/>
    <w:rsid w:val="0034045E"/>
    <w:rsid w:val="00340660"/>
    <w:rsid w:val="00340782"/>
    <w:rsid w:val="00340785"/>
    <w:rsid w:val="0034094E"/>
    <w:rsid w:val="00340D92"/>
    <w:rsid w:val="003411FE"/>
    <w:rsid w:val="00341A1B"/>
    <w:rsid w:val="003424E9"/>
    <w:rsid w:val="00342520"/>
    <w:rsid w:val="0034263C"/>
    <w:rsid w:val="003430E3"/>
    <w:rsid w:val="0034363C"/>
    <w:rsid w:val="00343815"/>
    <w:rsid w:val="00343952"/>
    <w:rsid w:val="00343DEE"/>
    <w:rsid w:val="00343E24"/>
    <w:rsid w:val="00345143"/>
    <w:rsid w:val="003452D0"/>
    <w:rsid w:val="00345561"/>
    <w:rsid w:val="00345845"/>
    <w:rsid w:val="00345D1C"/>
    <w:rsid w:val="003465F0"/>
    <w:rsid w:val="003469AD"/>
    <w:rsid w:val="00346B8B"/>
    <w:rsid w:val="00346D43"/>
    <w:rsid w:val="003470DB"/>
    <w:rsid w:val="00347453"/>
    <w:rsid w:val="00350370"/>
    <w:rsid w:val="0035043A"/>
    <w:rsid w:val="0035070C"/>
    <w:rsid w:val="00350B21"/>
    <w:rsid w:val="00350D15"/>
    <w:rsid w:val="003524E4"/>
    <w:rsid w:val="0035255F"/>
    <w:rsid w:val="003532AE"/>
    <w:rsid w:val="003533A1"/>
    <w:rsid w:val="003534C7"/>
    <w:rsid w:val="0035444B"/>
    <w:rsid w:val="00354EA9"/>
    <w:rsid w:val="00355F1F"/>
    <w:rsid w:val="00356445"/>
    <w:rsid w:val="0035683A"/>
    <w:rsid w:val="00356C2E"/>
    <w:rsid w:val="00357521"/>
    <w:rsid w:val="00357583"/>
    <w:rsid w:val="003576B3"/>
    <w:rsid w:val="00357B63"/>
    <w:rsid w:val="00357C24"/>
    <w:rsid w:val="00360143"/>
    <w:rsid w:val="00360262"/>
    <w:rsid w:val="003603BD"/>
    <w:rsid w:val="00360692"/>
    <w:rsid w:val="00360BF2"/>
    <w:rsid w:val="00360C2C"/>
    <w:rsid w:val="00360D2B"/>
    <w:rsid w:val="003610FA"/>
    <w:rsid w:val="00361F15"/>
    <w:rsid w:val="00362B8C"/>
    <w:rsid w:val="00362BA2"/>
    <w:rsid w:val="00362D51"/>
    <w:rsid w:val="003630F2"/>
    <w:rsid w:val="0036318F"/>
    <w:rsid w:val="003636C3"/>
    <w:rsid w:val="003637E1"/>
    <w:rsid w:val="0036476A"/>
    <w:rsid w:val="003648CA"/>
    <w:rsid w:val="00364B02"/>
    <w:rsid w:val="00364F8D"/>
    <w:rsid w:val="003651FD"/>
    <w:rsid w:val="003656E7"/>
    <w:rsid w:val="00365AA6"/>
    <w:rsid w:val="00365E50"/>
    <w:rsid w:val="003661E6"/>
    <w:rsid w:val="00366297"/>
    <w:rsid w:val="0036669F"/>
    <w:rsid w:val="00366FB4"/>
    <w:rsid w:val="00367DB9"/>
    <w:rsid w:val="00367F00"/>
    <w:rsid w:val="00367FEE"/>
    <w:rsid w:val="00370581"/>
    <w:rsid w:val="00371293"/>
    <w:rsid w:val="003714AC"/>
    <w:rsid w:val="00371C46"/>
    <w:rsid w:val="00371DDD"/>
    <w:rsid w:val="00371E6F"/>
    <w:rsid w:val="00372181"/>
    <w:rsid w:val="003725D7"/>
    <w:rsid w:val="0037295D"/>
    <w:rsid w:val="00372A64"/>
    <w:rsid w:val="00372D81"/>
    <w:rsid w:val="00372DFF"/>
    <w:rsid w:val="0037362E"/>
    <w:rsid w:val="003749A2"/>
    <w:rsid w:val="00374CA9"/>
    <w:rsid w:val="00374DD2"/>
    <w:rsid w:val="00374ED1"/>
    <w:rsid w:val="00375276"/>
    <w:rsid w:val="003752C5"/>
    <w:rsid w:val="003753EF"/>
    <w:rsid w:val="0037541C"/>
    <w:rsid w:val="003754A5"/>
    <w:rsid w:val="0037555B"/>
    <w:rsid w:val="00375680"/>
    <w:rsid w:val="00375E22"/>
    <w:rsid w:val="0037651A"/>
    <w:rsid w:val="003767F2"/>
    <w:rsid w:val="00376DBF"/>
    <w:rsid w:val="00377621"/>
    <w:rsid w:val="00377B0C"/>
    <w:rsid w:val="00377EDA"/>
    <w:rsid w:val="0038004C"/>
    <w:rsid w:val="003802A8"/>
    <w:rsid w:val="003802AE"/>
    <w:rsid w:val="00380941"/>
    <w:rsid w:val="00380D50"/>
    <w:rsid w:val="0038169E"/>
    <w:rsid w:val="00381DBB"/>
    <w:rsid w:val="0038244E"/>
    <w:rsid w:val="00382CB1"/>
    <w:rsid w:val="00382CEE"/>
    <w:rsid w:val="003834AB"/>
    <w:rsid w:val="00384163"/>
    <w:rsid w:val="00384832"/>
    <w:rsid w:val="003856E0"/>
    <w:rsid w:val="0038589E"/>
    <w:rsid w:val="00386BD3"/>
    <w:rsid w:val="0038754B"/>
    <w:rsid w:val="00387D01"/>
    <w:rsid w:val="003901F1"/>
    <w:rsid w:val="00390C72"/>
    <w:rsid w:val="003918DF"/>
    <w:rsid w:val="00391A1C"/>
    <w:rsid w:val="00391E53"/>
    <w:rsid w:val="0039220D"/>
    <w:rsid w:val="003924F5"/>
    <w:rsid w:val="003925DA"/>
    <w:rsid w:val="0039291E"/>
    <w:rsid w:val="00392FA8"/>
    <w:rsid w:val="00393059"/>
    <w:rsid w:val="00393149"/>
    <w:rsid w:val="0039321A"/>
    <w:rsid w:val="003932E9"/>
    <w:rsid w:val="00393B02"/>
    <w:rsid w:val="0039444A"/>
    <w:rsid w:val="00394772"/>
    <w:rsid w:val="00394976"/>
    <w:rsid w:val="00394C21"/>
    <w:rsid w:val="00394D88"/>
    <w:rsid w:val="003962E8"/>
    <w:rsid w:val="003963FD"/>
    <w:rsid w:val="003968E1"/>
    <w:rsid w:val="00396A2F"/>
    <w:rsid w:val="00396BCD"/>
    <w:rsid w:val="00396E6D"/>
    <w:rsid w:val="003977A3"/>
    <w:rsid w:val="003A00AF"/>
    <w:rsid w:val="003A0397"/>
    <w:rsid w:val="003A065A"/>
    <w:rsid w:val="003A1375"/>
    <w:rsid w:val="003A1572"/>
    <w:rsid w:val="003A1BB8"/>
    <w:rsid w:val="003A277D"/>
    <w:rsid w:val="003A2BDF"/>
    <w:rsid w:val="003A2C9D"/>
    <w:rsid w:val="003A310A"/>
    <w:rsid w:val="003A38A9"/>
    <w:rsid w:val="003A3C56"/>
    <w:rsid w:val="003A3E7B"/>
    <w:rsid w:val="003A3EE0"/>
    <w:rsid w:val="003A4022"/>
    <w:rsid w:val="003A40B8"/>
    <w:rsid w:val="003A44FA"/>
    <w:rsid w:val="003A5415"/>
    <w:rsid w:val="003A5833"/>
    <w:rsid w:val="003A594F"/>
    <w:rsid w:val="003A5B34"/>
    <w:rsid w:val="003A5D22"/>
    <w:rsid w:val="003A64E5"/>
    <w:rsid w:val="003A67AF"/>
    <w:rsid w:val="003A6B44"/>
    <w:rsid w:val="003A6BAA"/>
    <w:rsid w:val="003A71E5"/>
    <w:rsid w:val="003A765B"/>
    <w:rsid w:val="003A7ECF"/>
    <w:rsid w:val="003B023F"/>
    <w:rsid w:val="003B0525"/>
    <w:rsid w:val="003B0B20"/>
    <w:rsid w:val="003B0CFF"/>
    <w:rsid w:val="003B0DBA"/>
    <w:rsid w:val="003B1367"/>
    <w:rsid w:val="003B1635"/>
    <w:rsid w:val="003B301A"/>
    <w:rsid w:val="003B33FE"/>
    <w:rsid w:val="003B34F5"/>
    <w:rsid w:val="003B3F71"/>
    <w:rsid w:val="003B461C"/>
    <w:rsid w:val="003B4D90"/>
    <w:rsid w:val="003B500F"/>
    <w:rsid w:val="003B539A"/>
    <w:rsid w:val="003B5759"/>
    <w:rsid w:val="003B60D2"/>
    <w:rsid w:val="003B611D"/>
    <w:rsid w:val="003B6128"/>
    <w:rsid w:val="003B6513"/>
    <w:rsid w:val="003B7267"/>
    <w:rsid w:val="003B772F"/>
    <w:rsid w:val="003B7789"/>
    <w:rsid w:val="003C060E"/>
    <w:rsid w:val="003C0B5C"/>
    <w:rsid w:val="003C0E67"/>
    <w:rsid w:val="003C1807"/>
    <w:rsid w:val="003C188C"/>
    <w:rsid w:val="003C1B6C"/>
    <w:rsid w:val="003C1CF6"/>
    <w:rsid w:val="003C1E1E"/>
    <w:rsid w:val="003C1F1D"/>
    <w:rsid w:val="003C23C0"/>
    <w:rsid w:val="003C240F"/>
    <w:rsid w:val="003C2589"/>
    <w:rsid w:val="003C2BB9"/>
    <w:rsid w:val="003C2EA5"/>
    <w:rsid w:val="003C2EEE"/>
    <w:rsid w:val="003C38AD"/>
    <w:rsid w:val="003C3E66"/>
    <w:rsid w:val="003C4976"/>
    <w:rsid w:val="003C57D2"/>
    <w:rsid w:val="003C5849"/>
    <w:rsid w:val="003C5F13"/>
    <w:rsid w:val="003C70C2"/>
    <w:rsid w:val="003C7779"/>
    <w:rsid w:val="003C7C75"/>
    <w:rsid w:val="003C7E79"/>
    <w:rsid w:val="003D0430"/>
    <w:rsid w:val="003D0546"/>
    <w:rsid w:val="003D1253"/>
    <w:rsid w:val="003D17F6"/>
    <w:rsid w:val="003D2424"/>
    <w:rsid w:val="003D271A"/>
    <w:rsid w:val="003D29CB"/>
    <w:rsid w:val="003D31F9"/>
    <w:rsid w:val="003D34B6"/>
    <w:rsid w:val="003D37BA"/>
    <w:rsid w:val="003D3C51"/>
    <w:rsid w:val="003D3CE3"/>
    <w:rsid w:val="003D3E7C"/>
    <w:rsid w:val="003D433E"/>
    <w:rsid w:val="003D4A57"/>
    <w:rsid w:val="003D4A7C"/>
    <w:rsid w:val="003D4B2E"/>
    <w:rsid w:val="003D4C51"/>
    <w:rsid w:val="003D55CF"/>
    <w:rsid w:val="003D5747"/>
    <w:rsid w:val="003D5A23"/>
    <w:rsid w:val="003D5C2B"/>
    <w:rsid w:val="003D5D4D"/>
    <w:rsid w:val="003D5E02"/>
    <w:rsid w:val="003D5E30"/>
    <w:rsid w:val="003D6174"/>
    <w:rsid w:val="003D6490"/>
    <w:rsid w:val="003D651C"/>
    <w:rsid w:val="003D70DE"/>
    <w:rsid w:val="003E0395"/>
    <w:rsid w:val="003E0553"/>
    <w:rsid w:val="003E0686"/>
    <w:rsid w:val="003E0792"/>
    <w:rsid w:val="003E0C5F"/>
    <w:rsid w:val="003E18FF"/>
    <w:rsid w:val="003E1FDE"/>
    <w:rsid w:val="003E2BF3"/>
    <w:rsid w:val="003E33B8"/>
    <w:rsid w:val="003E372D"/>
    <w:rsid w:val="003E3B87"/>
    <w:rsid w:val="003E4D19"/>
    <w:rsid w:val="003E506D"/>
    <w:rsid w:val="003E5406"/>
    <w:rsid w:val="003E5B55"/>
    <w:rsid w:val="003E5C7E"/>
    <w:rsid w:val="003E63D7"/>
    <w:rsid w:val="003E6539"/>
    <w:rsid w:val="003E669C"/>
    <w:rsid w:val="003E70AB"/>
    <w:rsid w:val="003E70DC"/>
    <w:rsid w:val="003E730E"/>
    <w:rsid w:val="003E773E"/>
    <w:rsid w:val="003E7E85"/>
    <w:rsid w:val="003E7EF5"/>
    <w:rsid w:val="003F0028"/>
    <w:rsid w:val="003F0130"/>
    <w:rsid w:val="003F0435"/>
    <w:rsid w:val="003F0A05"/>
    <w:rsid w:val="003F0C50"/>
    <w:rsid w:val="003F0E6C"/>
    <w:rsid w:val="003F129F"/>
    <w:rsid w:val="003F181C"/>
    <w:rsid w:val="003F1A97"/>
    <w:rsid w:val="003F1C70"/>
    <w:rsid w:val="003F1DC6"/>
    <w:rsid w:val="003F1E63"/>
    <w:rsid w:val="003F2216"/>
    <w:rsid w:val="003F2BA5"/>
    <w:rsid w:val="003F2C04"/>
    <w:rsid w:val="003F3747"/>
    <w:rsid w:val="003F37DA"/>
    <w:rsid w:val="003F38FE"/>
    <w:rsid w:val="003F3A1E"/>
    <w:rsid w:val="003F434A"/>
    <w:rsid w:val="003F4577"/>
    <w:rsid w:val="003F4618"/>
    <w:rsid w:val="003F5026"/>
    <w:rsid w:val="003F5BA9"/>
    <w:rsid w:val="003F5C20"/>
    <w:rsid w:val="003F5D07"/>
    <w:rsid w:val="003F6CE6"/>
    <w:rsid w:val="003F6D4A"/>
    <w:rsid w:val="003F6D6A"/>
    <w:rsid w:val="003F703A"/>
    <w:rsid w:val="00400733"/>
    <w:rsid w:val="00400BBC"/>
    <w:rsid w:val="00400DC8"/>
    <w:rsid w:val="004010B0"/>
    <w:rsid w:val="00402010"/>
    <w:rsid w:val="004029C4"/>
    <w:rsid w:val="004029F9"/>
    <w:rsid w:val="00402F57"/>
    <w:rsid w:val="00403043"/>
    <w:rsid w:val="00403563"/>
    <w:rsid w:val="00403939"/>
    <w:rsid w:val="00404166"/>
    <w:rsid w:val="004046BA"/>
    <w:rsid w:val="004046FF"/>
    <w:rsid w:val="0040498A"/>
    <w:rsid w:val="004053E9"/>
    <w:rsid w:val="00405587"/>
    <w:rsid w:val="00405D17"/>
    <w:rsid w:val="0040614A"/>
    <w:rsid w:val="00406241"/>
    <w:rsid w:val="00406566"/>
    <w:rsid w:val="00406D3B"/>
    <w:rsid w:val="00406FDD"/>
    <w:rsid w:val="00407261"/>
    <w:rsid w:val="004074F4"/>
    <w:rsid w:val="0040754E"/>
    <w:rsid w:val="00410378"/>
    <w:rsid w:val="00410544"/>
    <w:rsid w:val="0041139D"/>
    <w:rsid w:val="004117C2"/>
    <w:rsid w:val="00411A08"/>
    <w:rsid w:val="00411CBA"/>
    <w:rsid w:val="00411CC5"/>
    <w:rsid w:val="00411FD3"/>
    <w:rsid w:val="00412632"/>
    <w:rsid w:val="004132CE"/>
    <w:rsid w:val="00413F05"/>
    <w:rsid w:val="00414B38"/>
    <w:rsid w:val="00414BC3"/>
    <w:rsid w:val="00415271"/>
    <w:rsid w:val="00415CB5"/>
    <w:rsid w:val="00415DE9"/>
    <w:rsid w:val="00415F90"/>
    <w:rsid w:val="00416311"/>
    <w:rsid w:val="004176F6"/>
    <w:rsid w:val="0042084B"/>
    <w:rsid w:val="004208CC"/>
    <w:rsid w:val="00420B8A"/>
    <w:rsid w:val="00420C07"/>
    <w:rsid w:val="00420D18"/>
    <w:rsid w:val="00421099"/>
    <w:rsid w:val="00421117"/>
    <w:rsid w:val="00421328"/>
    <w:rsid w:val="0042174D"/>
    <w:rsid w:val="00421936"/>
    <w:rsid w:val="00421BD8"/>
    <w:rsid w:val="00421BFE"/>
    <w:rsid w:val="004221AE"/>
    <w:rsid w:val="00423713"/>
    <w:rsid w:val="00423849"/>
    <w:rsid w:val="00424D87"/>
    <w:rsid w:val="00424FBA"/>
    <w:rsid w:val="0042508F"/>
    <w:rsid w:val="0042512F"/>
    <w:rsid w:val="0042542A"/>
    <w:rsid w:val="00425658"/>
    <w:rsid w:val="0042566B"/>
    <w:rsid w:val="0042586C"/>
    <w:rsid w:val="00425A1C"/>
    <w:rsid w:val="00425DD9"/>
    <w:rsid w:val="0042602F"/>
    <w:rsid w:val="004262E2"/>
    <w:rsid w:val="00426868"/>
    <w:rsid w:val="00426A75"/>
    <w:rsid w:val="0042745E"/>
    <w:rsid w:val="00427B5C"/>
    <w:rsid w:val="00430524"/>
    <w:rsid w:val="00430FAD"/>
    <w:rsid w:val="00431698"/>
    <w:rsid w:val="00431C65"/>
    <w:rsid w:val="00432466"/>
    <w:rsid w:val="004324BE"/>
    <w:rsid w:val="00432EAE"/>
    <w:rsid w:val="00432ED2"/>
    <w:rsid w:val="00433115"/>
    <w:rsid w:val="00433290"/>
    <w:rsid w:val="004335F5"/>
    <w:rsid w:val="0043372D"/>
    <w:rsid w:val="0043393A"/>
    <w:rsid w:val="00433BD8"/>
    <w:rsid w:val="00434909"/>
    <w:rsid w:val="00434CC6"/>
    <w:rsid w:val="00434DCE"/>
    <w:rsid w:val="00434DF3"/>
    <w:rsid w:val="004354A7"/>
    <w:rsid w:val="00435698"/>
    <w:rsid w:val="004356C1"/>
    <w:rsid w:val="00435D4F"/>
    <w:rsid w:val="00436072"/>
    <w:rsid w:val="004362E8"/>
    <w:rsid w:val="004369A5"/>
    <w:rsid w:val="00436A46"/>
    <w:rsid w:val="00436BA9"/>
    <w:rsid w:val="00436BE7"/>
    <w:rsid w:val="00437560"/>
    <w:rsid w:val="0043793B"/>
    <w:rsid w:val="00437E68"/>
    <w:rsid w:val="004402E0"/>
    <w:rsid w:val="00440D8C"/>
    <w:rsid w:val="004411AC"/>
    <w:rsid w:val="004412DB"/>
    <w:rsid w:val="00441877"/>
    <w:rsid w:val="004425D9"/>
    <w:rsid w:val="00442818"/>
    <w:rsid w:val="0044348D"/>
    <w:rsid w:val="004443BE"/>
    <w:rsid w:val="0044582D"/>
    <w:rsid w:val="004459D6"/>
    <w:rsid w:val="00446035"/>
    <w:rsid w:val="0044686F"/>
    <w:rsid w:val="0044690C"/>
    <w:rsid w:val="004469AF"/>
    <w:rsid w:val="00446C45"/>
    <w:rsid w:val="00447214"/>
    <w:rsid w:val="004472FF"/>
    <w:rsid w:val="00447764"/>
    <w:rsid w:val="00447990"/>
    <w:rsid w:val="004479B3"/>
    <w:rsid w:val="00447C48"/>
    <w:rsid w:val="00447D01"/>
    <w:rsid w:val="00447D52"/>
    <w:rsid w:val="004500ED"/>
    <w:rsid w:val="00450EAD"/>
    <w:rsid w:val="00451483"/>
    <w:rsid w:val="00451898"/>
    <w:rsid w:val="004526E3"/>
    <w:rsid w:val="0045272B"/>
    <w:rsid w:val="004532F2"/>
    <w:rsid w:val="00453CC4"/>
    <w:rsid w:val="00453F31"/>
    <w:rsid w:val="0045457B"/>
    <w:rsid w:val="00454AEC"/>
    <w:rsid w:val="00454DC0"/>
    <w:rsid w:val="00455374"/>
    <w:rsid w:val="004565A8"/>
    <w:rsid w:val="00456DF0"/>
    <w:rsid w:val="004570BA"/>
    <w:rsid w:val="00457470"/>
    <w:rsid w:val="00457581"/>
    <w:rsid w:val="004607C0"/>
    <w:rsid w:val="0046087C"/>
    <w:rsid w:val="00460C8C"/>
    <w:rsid w:val="00460FB5"/>
    <w:rsid w:val="0046100B"/>
    <w:rsid w:val="00461103"/>
    <w:rsid w:val="004615EE"/>
    <w:rsid w:val="0046194F"/>
    <w:rsid w:val="00461E89"/>
    <w:rsid w:val="00461F6E"/>
    <w:rsid w:val="00462142"/>
    <w:rsid w:val="004623C7"/>
    <w:rsid w:val="00462D36"/>
    <w:rsid w:val="00462F87"/>
    <w:rsid w:val="00463043"/>
    <w:rsid w:val="004630EB"/>
    <w:rsid w:val="00463494"/>
    <w:rsid w:val="00464054"/>
    <w:rsid w:val="004647B2"/>
    <w:rsid w:val="00464BD8"/>
    <w:rsid w:val="00464D21"/>
    <w:rsid w:val="004652D1"/>
    <w:rsid w:val="00465599"/>
    <w:rsid w:val="00465658"/>
    <w:rsid w:val="00465D16"/>
    <w:rsid w:val="004669EC"/>
    <w:rsid w:val="00466DF7"/>
    <w:rsid w:val="00466E8C"/>
    <w:rsid w:val="00466EF6"/>
    <w:rsid w:val="0046713D"/>
    <w:rsid w:val="00467265"/>
    <w:rsid w:val="0046784E"/>
    <w:rsid w:val="004679ED"/>
    <w:rsid w:val="00467E13"/>
    <w:rsid w:val="00470A77"/>
    <w:rsid w:val="00470C84"/>
    <w:rsid w:val="004727CB"/>
    <w:rsid w:val="00472DCC"/>
    <w:rsid w:val="004731FA"/>
    <w:rsid w:val="00473507"/>
    <w:rsid w:val="0047352B"/>
    <w:rsid w:val="00473FD1"/>
    <w:rsid w:val="004740D3"/>
    <w:rsid w:val="004741AF"/>
    <w:rsid w:val="0047423C"/>
    <w:rsid w:val="00474338"/>
    <w:rsid w:val="00474788"/>
    <w:rsid w:val="00474BF8"/>
    <w:rsid w:val="00474E5C"/>
    <w:rsid w:val="00474EA0"/>
    <w:rsid w:val="0047515A"/>
    <w:rsid w:val="00475AE6"/>
    <w:rsid w:val="0047614B"/>
    <w:rsid w:val="004761CD"/>
    <w:rsid w:val="0047650F"/>
    <w:rsid w:val="00476548"/>
    <w:rsid w:val="0047654F"/>
    <w:rsid w:val="004766C2"/>
    <w:rsid w:val="00476768"/>
    <w:rsid w:val="00476EFA"/>
    <w:rsid w:val="00477025"/>
    <w:rsid w:val="0047741B"/>
    <w:rsid w:val="004778A6"/>
    <w:rsid w:val="004807E6"/>
    <w:rsid w:val="004807FC"/>
    <w:rsid w:val="00480ACC"/>
    <w:rsid w:val="004810EE"/>
    <w:rsid w:val="004813ED"/>
    <w:rsid w:val="004813FD"/>
    <w:rsid w:val="004819A4"/>
    <w:rsid w:val="00481D33"/>
    <w:rsid w:val="0048221B"/>
    <w:rsid w:val="00482459"/>
    <w:rsid w:val="00482A27"/>
    <w:rsid w:val="00482B68"/>
    <w:rsid w:val="004835A6"/>
    <w:rsid w:val="00483B62"/>
    <w:rsid w:val="00483E53"/>
    <w:rsid w:val="00484410"/>
    <w:rsid w:val="0048468E"/>
    <w:rsid w:val="00484784"/>
    <w:rsid w:val="00484B03"/>
    <w:rsid w:val="00484DD7"/>
    <w:rsid w:val="00485766"/>
    <w:rsid w:val="00485B05"/>
    <w:rsid w:val="00486181"/>
    <w:rsid w:val="004863AB"/>
    <w:rsid w:val="004872E6"/>
    <w:rsid w:val="00487707"/>
    <w:rsid w:val="00487B0F"/>
    <w:rsid w:val="00487CEA"/>
    <w:rsid w:val="00487E72"/>
    <w:rsid w:val="00490823"/>
    <w:rsid w:val="00490D3F"/>
    <w:rsid w:val="00490D5F"/>
    <w:rsid w:val="004914F0"/>
    <w:rsid w:val="00492145"/>
    <w:rsid w:val="00492EB3"/>
    <w:rsid w:val="004932DF"/>
    <w:rsid w:val="00493B8C"/>
    <w:rsid w:val="00494720"/>
    <w:rsid w:val="00494D16"/>
    <w:rsid w:val="00494D48"/>
    <w:rsid w:val="00494D97"/>
    <w:rsid w:val="00495145"/>
    <w:rsid w:val="00495683"/>
    <w:rsid w:val="00495970"/>
    <w:rsid w:val="004962CD"/>
    <w:rsid w:val="00496BEF"/>
    <w:rsid w:val="00496CAC"/>
    <w:rsid w:val="00496EB9"/>
    <w:rsid w:val="00496FD1"/>
    <w:rsid w:val="00497C42"/>
    <w:rsid w:val="00497D2E"/>
    <w:rsid w:val="004A0539"/>
    <w:rsid w:val="004A0851"/>
    <w:rsid w:val="004A08E4"/>
    <w:rsid w:val="004A09B6"/>
    <w:rsid w:val="004A14DF"/>
    <w:rsid w:val="004A22C3"/>
    <w:rsid w:val="004A2555"/>
    <w:rsid w:val="004A2DAB"/>
    <w:rsid w:val="004A31C8"/>
    <w:rsid w:val="004A37BB"/>
    <w:rsid w:val="004A430D"/>
    <w:rsid w:val="004A4A27"/>
    <w:rsid w:val="004A4A48"/>
    <w:rsid w:val="004A4C87"/>
    <w:rsid w:val="004A5029"/>
    <w:rsid w:val="004A5864"/>
    <w:rsid w:val="004A67C0"/>
    <w:rsid w:val="004A7740"/>
    <w:rsid w:val="004A7C18"/>
    <w:rsid w:val="004B03D0"/>
    <w:rsid w:val="004B0466"/>
    <w:rsid w:val="004B05A0"/>
    <w:rsid w:val="004B0DA8"/>
    <w:rsid w:val="004B143A"/>
    <w:rsid w:val="004B1BFA"/>
    <w:rsid w:val="004B257E"/>
    <w:rsid w:val="004B29C2"/>
    <w:rsid w:val="004B2C9C"/>
    <w:rsid w:val="004B2D4F"/>
    <w:rsid w:val="004B2E7B"/>
    <w:rsid w:val="004B2ED3"/>
    <w:rsid w:val="004B3580"/>
    <w:rsid w:val="004B35E3"/>
    <w:rsid w:val="004B3E82"/>
    <w:rsid w:val="004B4149"/>
    <w:rsid w:val="004B4514"/>
    <w:rsid w:val="004B4B12"/>
    <w:rsid w:val="004B5443"/>
    <w:rsid w:val="004B5522"/>
    <w:rsid w:val="004B62F0"/>
    <w:rsid w:val="004B6345"/>
    <w:rsid w:val="004B6367"/>
    <w:rsid w:val="004B6CFF"/>
    <w:rsid w:val="004B701A"/>
    <w:rsid w:val="004B705F"/>
    <w:rsid w:val="004B713A"/>
    <w:rsid w:val="004B718B"/>
    <w:rsid w:val="004B7351"/>
    <w:rsid w:val="004B7375"/>
    <w:rsid w:val="004B76B8"/>
    <w:rsid w:val="004B7ECA"/>
    <w:rsid w:val="004C05F2"/>
    <w:rsid w:val="004C08F7"/>
    <w:rsid w:val="004C1235"/>
    <w:rsid w:val="004C1239"/>
    <w:rsid w:val="004C14D0"/>
    <w:rsid w:val="004C18B7"/>
    <w:rsid w:val="004C2469"/>
    <w:rsid w:val="004C25F6"/>
    <w:rsid w:val="004C27B2"/>
    <w:rsid w:val="004C2D46"/>
    <w:rsid w:val="004C2E05"/>
    <w:rsid w:val="004C3145"/>
    <w:rsid w:val="004C3529"/>
    <w:rsid w:val="004C39B0"/>
    <w:rsid w:val="004C3D93"/>
    <w:rsid w:val="004C4362"/>
    <w:rsid w:val="004C46FF"/>
    <w:rsid w:val="004C4B0B"/>
    <w:rsid w:val="004C4F47"/>
    <w:rsid w:val="004C5242"/>
    <w:rsid w:val="004C52F9"/>
    <w:rsid w:val="004C5783"/>
    <w:rsid w:val="004C5A56"/>
    <w:rsid w:val="004C63AC"/>
    <w:rsid w:val="004C68B0"/>
    <w:rsid w:val="004C6E4D"/>
    <w:rsid w:val="004C70C0"/>
    <w:rsid w:val="004C763A"/>
    <w:rsid w:val="004C7AF7"/>
    <w:rsid w:val="004C7BD7"/>
    <w:rsid w:val="004D109A"/>
    <w:rsid w:val="004D1360"/>
    <w:rsid w:val="004D260A"/>
    <w:rsid w:val="004D2FBA"/>
    <w:rsid w:val="004D3684"/>
    <w:rsid w:val="004D3729"/>
    <w:rsid w:val="004D3ACD"/>
    <w:rsid w:val="004D3B56"/>
    <w:rsid w:val="004D3C04"/>
    <w:rsid w:val="004D405F"/>
    <w:rsid w:val="004D4307"/>
    <w:rsid w:val="004D4CF0"/>
    <w:rsid w:val="004D4E5E"/>
    <w:rsid w:val="004D54EB"/>
    <w:rsid w:val="004D54F6"/>
    <w:rsid w:val="004D5A6B"/>
    <w:rsid w:val="004D5ECD"/>
    <w:rsid w:val="004D6AF4"/>
    <w:rsid w:val="004D7897"/>
    <w:rsid w:val="004E00D9"/>
    <w:rsid w:val="004E0245"/>
    <w:rsid w:val="004E119B"/>
    <w:rsid w:val="004E12F1"/>
    <w:rsid w:val="004E1360"/>
    <w:rsid w:val="004E17B9"/>
    <w:rsid w:val="004E1A32"/>
    <w:rsid w:val="004E2317"/>
    <w:rsid w:val="004E2D73"/>
    <w:rsid w:val="004E2F91"/>
    <w:rsid w:val="004E304C"/>
    <w:rsid w:val="004E3446"/>
    <w:rsid w:val="004E3816"/>
    <w:rsid w:val="004E3CE5"/>
    <w:rsid w:val="004E3CFF"/>
    <w:rsid w:val="004E4547"/>
    <w:rsid w:val="004E54C7"/>
    <w:rsid w:val="004E5870"/>
    <w:rsid w:val="004E5E34"/>
    <w:rsid w:val="004E5F37"/>
    <w:rsid w:val="004E602E"/>
    <w:rsid w:val="004E648D"/>
    <w:rsid w:val="004E6ACA"/>
    <w:rsid w:val="004E6E7F"/>
    <w:rsid w:val="004E6E8F"/>
    <w:rsid w:val="004E6F58"/>
    <w:rsid w:val="004E70BB"/>
    <w:rsid w:val="004E731D"/>
    <w:rsid w:val="004E7CF0"/>
    <w:rsid w:val="004F00D7"/>
    <w:rsid w:val="004F01B8"/>
    <w:rsid w:val="004F049B"/>
    <w:rsid w:val="004F0E24"/>
    <w:rsid w:val="004F173D"/>
    <w:rsid w:val="004F1BE2"/>
    <w:rsid w:val="004F1D1D"/>
    <w:rsid w:val="004F212C"/>
    <w:rsid w:val="004F2288"/>
    <w:rsid w:val="004F22EF"/>
    <w:rsid w:val="004F256C"/>
    <w:rsid w:val="004F2911"/>
    <w:rsid w:val="004F2A6D"/>
    <w:rsid w:val="004F3771"/>
    <w:rsid w:val="004F3BA5"/>
    <w:rsid w:val="004F4195"/>
    <w:rsid w:val="004F4B6A"/>
    <w:rsid w:val="004F5045"/>
    <w:rsid w:val="004F5E7D"/>
    <w:rsid w:val="004F6948"/>
    <w:rsid w:val="004F6BF7"/>
    <w:rsid w:val="004F6E85"/>
    <w:rsid w:val="004F6F10"/>
    <w:rsid w:val="004F7357"/>
    <w:rsid w:val="004F7858"/>
    <w:rsid w:val="00500060"/>
    <w:rsid w:val="0050013D"/>
    <w:rsid w:val="0050043D"/>
    <w:rsid w:val="00501096"/>
    <w:rsid w:val="0050260F"/>
    <w:rsid w:val="00502E0E"/>
    <w:rsid w:val="005034E4"/>
    <w:rsid w:val="005035D2"/>
    <w:rsid w:val="0050380B"/>
    <w:rsid w:val="00503F09"/>
    <w:rsid w:val="00504144"/>
    <w:rsid w:val="0050422D"/>
    <w:rsid w:val="005046B4"/>
    <w:rsid w:val="005049D1"/>
    <w:rsid w:val="00504A7E"/>
    <w:rsid w:val="0050527F"/>
    <w:rsid w:val="005056E1"/>
    <w:rsid w:val="005067BC"/>
    <w:rsid w:val="0050696B"/>
    <w:rsid w:val="00506CD7"/>
    <w:rsid w:val="00506ECA"/>
    <w:rsid w:val="00507191"/>
    <w:rsid w:val="005072FA"/>
    <w:rsid w:val="0050767E"/>
    <w:rsid w:val="0050793E"/>
    <w:rsid w:val="00507EC4"/>
    <w:rsid w:val="0051007F"/>
    <w:rsid w:val="005107B2"/>
    <w:rsid w:val="005112DF"/>
    <w:rsid w:val="005115EF"/>
    <w:rsid w:val="005117AB"/>
    <w:rsid w:val="00511F30"/>
    <w:rsid w:val="00512229"/>
    <w:rsid w:val="00512996"/>
    <w:rsid w:val="005130E8"/>
    <w:rsid w:val="0051384A"/>
    <w:rsid w:val="005138D0"/>
    <w:rsid w:val="00514CD1"/>
    <w:rsid w:val="0051558A"/>
    <w:rsid w:val="00516307"/>
    <w:rsid w:val="005163A4"/>
    <w:rsid w:val="00516527"/>
    <w:rsid w:val="00516C87"/>
    <w:rsid w:val="00517175"/>
    <w:rsid w:val="005173D0"/>
    <w:rsid w:val="00517C50"/>
    <w:rsid w:val="00517CD2"/>
    <w:rsid w:val="00517F26"/>
    <w:rsid w:val="005201E1"/>
    <w:rsid w:val="005205CB"/>
    <w:rsid w:val="00520878"/>
    <w:rsid w:val="00520BD1"/>
    <w:rsid w:val="00521299"/>
    <w:rsid w:val="00521C24"/>
    <w:rsid w:val="00521CA1"/>
    <w:rsid w:val="00522211"/>
    <w:rsid w:val="0052241A"/>
    <w:rsid w:val="00522E59"/>
    <w:rsid w:val="0052338F"/>
    <w:rsid w:val="00523BBA"/>
    <w:rsid w:val="00524599"/>
    <w:rsid w:val="00524737"/>
    <w:rsid w:val="00524985"/>
    <w:rsid w:val="00525529"/>
    <w:rsid w:val="005258C2"/>
    <w:rsid w:val="00525971"/>
    <w:rsid w:val="00526352"/>
    <w:rsid w:val="00526832"/>
    <w:rsid w:val="005269F5"/>
    <w:rsid w:val="00526FC8"/>
    <w:rsid w:val="00527D3B"/>
    <w:rsid w:val="00527D7F"/>
    <w:rsid w:val="00527F59"/>
    <w:rsid w:val="00530115"/>
    <w:rsid w:val="00531341"/>
    <w:rsid w:val="0053251A"/>
    <w:rsid w:val="00532B60"/>
    <w:rsid w:val="00532CDF"/>
    <w:rsid w:val="00532F7D"/>
    <w:rsid w:val="0053359E"/>
    <w:rsid w:val="0053376C"/>
    <w:rsid w:val="00533BD4"/>
    <w:rsid w:val="00534427"/>
    <w:rsid w:val="00534C9E"/>
    <w:rsid w:val="00534E60"/>
    <w:rsid w:val="00534F47"/>
    <w:rsid w:val="00535350"/>
    <w:rsid w:val="00535662"/>
    <w:rsid w:val="0053642B"/>
    <w:rsid w:val="00536756"/>
    <w:rsid w:val="00536FF0"/>
    <w:rsid w:val="005373B6"/>
    <w:rsid w:val="00537BD9"/>
    <w:rsid w:val="00537DCC"/>
    <w:rsid w:val="00537DF6"/>
    <w:rsid w:val="005404D5"/>
    <w:rsid w:val="00540A2D"/>
    <w:rsid w:val="00541374"/>
    <w:rsid w:val="00542351"/>
    <w:rsid w:val="005424C2"/>
    <w:rsid w:val="005427AF"/>
    <w:rsid w:val="00543DA4"/>
    <w:rsid w:val="00544688"/>
    <w:rsid w:val="00544792"/>
    <w:rsid w:val="005447D3"/>
    <w:rsid w:val="00544908"/>
    <w:rsid w:val="005449C5"/>
    <w:rsid w:val="00544E85"/>
    <w:rsid w:val="00545238"/>
    <w:rsid w:val="00545464"/>
    <w:rsid w:val="00545976"/>
    <w:rsid w:val="00545A5D"/>
    <w:rsid w:val="005464E1"/>
    <w:rsid w:val="00546600"/>
    <w:rsid w:val="00546B6B"/>
    <w:rsid w:val="0054752B"/>
    <w:rsid w:val="005500B5"/>
    <w:rsid w:val="005507E2"/>
    <w:rsid w:val="005515AB"/>
    <w:rsid w:val="0055182A"/>
    <w:rsid w:val="00551985"/>
    <w:rsid w:val="00551F79"/>
    <w:rsid w:val="00552155"/>
    <w:rsid w:val="0055259A"/>
    <w:rsid w:val="00552EA9"/>
    <w:rsid w:val="00553008"/>
    <w:rsid w:val="0055310E"/>
    <w:rsid w:val="0055422E"/>
    <w:rsid w:val="005544C1"/>
    <w:rsid w:val="00555307"/>
    <w:rsid w:val="00555D87"/>
    <w:rsid w:val="0055652A"/>
    <w:rsid w:val="00556BC2"/>
    <w:rsid w:val="0055707D"/>
    <w:rsid w:val="00557718"/>
    <w:rsid w:val="00557DCE"/>
    <w:rsid w:val="00560FA9"/>
    <w:rsid w:val="0056159F"/>
    <w:rsid w:val="00561E1B"/>
    <w:rsid w:val="00562108"/>
    <w:rsid w:val="0056213C"/>
    <w:rsid w:val="00562470"/>
    <w:rsid w:val="00562E4F"/>
    <w:rsid w:val="00563072"/>
    <w:rsid w:val="005632CA"/>
    <w:rsid w:val="005633BD"/>
    <w:rsid w:val="00563515"/>
    <w:rsid w:val="005636FF"/>
    <w:rsid w:val="00563997"/>
    <w:rsid w:val="00564D63"/>
    <w:rsid w:val="00564E10"/>
    <w:rsid w:val="0056533B"/>
    <w:rsid w:val="00565408"/>
    <w:rsid w:val="00566171"/>
    <w:rsid w:val="00566E85"/>
    <w:rsid w:val="00566EDE"/>
    <w:rsid w:val="00567049"/>
    <w:rsid w:val="00567229"/>
    <w:rsid w:val="00567300"/>
    <w:rsid w:val="00567B2E"/>
    <w:rsid w:val="005708DA"/>
    <w:rsid w:val="00570CB2"/>
    <w:rsid w:val="00571397"/>
    <w:rsid w:val="00571BBE"/>
    <w:rsid w:val="00571C9E"/>
    <w:rsid w:val="00571CC9"/>
    <w:rsid w:val="00572165"/>
    <w:rsid w:val="0057285C"/>
    <w:rsid w:val="00572ABA"/>
    <w:rsid w:val="00572F34"/>
    <w:rsid w:val="00573528"/>
    <w:rsid w:val="00574543"/>
    <w:rsid w:val="0057466A"/>
    <w:rsid w:val="00575C74"/>
    <w:rsid w:val="00575CB5"/>
    <w:rsid w:val="005764C8"/>
    <w:rsid w:val="00576763"/>
    <w:rsid w:val="00576920"/>
    <w:rsid w:val="00577429"/>
    <w:rsid w:val="0057796A"/>
    <w:rsid w:val="00577A01"/>
    <w:rsid w:val="00577B42"/>
    <w:rsid w:val="00577E64"/>
    <w:rsid w:val="00577F5A"/>
    <w:rsid w:val="0058063D"/>
    <w:rsid w:val="00580881"/>
    <w:rsid w:val="00580D8F"/>
    <w:rsid w:val="00580F6A"/>
    <w:rsid w:val="00581353"/>
    <w:rsid w:val="00581BB4"/>
    <w:rsid w:val="00581EF8"/>
    <w:rsid w:val="00581F16"/>
    <w:rsid w:val="00582DDD"/>
    <w:rsid w:val="00582FDA"/>
    <w:rsid w:val="005830FA"/>
    <w:rsid w:val="00583AE7"/>
    <w:rsid w:val="00584265"/>
    <w:rsid w:val="0058486D"/>
    <w:rsid w:val="0058559D"/>
    <w:rsid w:val="0058575A"/>
    <w:rsid w:val="00585857"/>
    <w:rsid w:val="00585EA4"/>
    <w:rsid w:val="0058662A"/>
    <w:rsid w:val="00586E66"/>
    <w:rsid w:val="005872BD"/>
    <w:rsid w:val="005877FD"/>
    <w:rsid w:val="00587F8A"/>
    <w:rsid w:val="0059027D"/>
    <w:rsid w:val="00591FCF"/>
    <w:rsid w:val="00592096"/>
    <w:rsid w:val="005920F2"/>
    <w:rsid w:val="00592134"/>
    <w:rsid w:val="00592E3B"/>
    <w:rsid w:val="0059321F"/>
    <w:rsid w:val="005932E6"/>
    <w:rsid w:val="0059344F"/>
    <w:rsid w:val="00593AA4"/>
    <w:rsid w:val="00593D7B"/>
    <w:rsid w:val="00593E3E"/>
    <w:rsid w:val="005945CF"/>
    <w:rsid w:val="00594B87"/>
    <w:rsid w:val="00594D19"/>
    <w:rsid w:val="00594DAD"/>
    <w:rsid w:val="00594E1A"/>
    <w:rsid w:val="00594F5A"/>
    <w:rsid w:val="00595702"/>
    <w:rsid w:val="00596165"/>
    <w:rsid w:val="005967A6"/>
    <w:rsid w:val="0059712B"/>
    <w:rsid w:val="005A0437"/>
    <w:rsid w:val="005A062E"/>
    <w:rsid w:val="005A0744"/>
    <w:rsid w:val="005A0B7C"/>
    <w:rsid w:val="005A0E2C"/>
    <w:rsid w:val="005A1421"/>
    <w:rsid w:val="005A15C4"/>
    <w:rsid w:val="005A1C6F"/>
    <w:rsid w:val="005A231D"/>
    <w:rsid w:val="005A28D1"/>
    <w:rsid w:val="005A28ED"/>
    <w:rsid w:val="005A2968"/>
    <w:rsid w:val="005A2A0B"/>
    <w:rsid w:val="005A2A8B"/>
    <w:rsid w:val="005A2C91"/>
    <w:rsid w:val="005A31AF"/>
    <w:rsid w:val="005A344E"/>
    <w:rsid w:val="005A38FD"/>
    <w:rsid w:val="005A4612"/>
    <w:rsid w:val="005A47CC"/>
    <w:rsid w:val="005A489C"/>
    <w:rsid w:val="005A524C"/>
    <w:rsid w:val="005A5AA2"/>
    <w:rsid w:val="005A5D56"/>
    <w:rsid w:val="005A6295"/>
    <w:rsid w:val="005A659B"/>
    <w:rsid w:val="005A6ACA"/>
    <w:rsid w:val="005A757D"/>
    <w:rsid w:val="005A771D"/>
    <w:rsid w:val="005A7F2A"/>
    <w:rsid w:val="005B03D5"/>
    <w:rsid w:val="005B0766"/>
    <w:rsid w:val="005B0ACC"/>
    <w:rsid w:val="005B0C9F"/>
    <w:rsid w:val="005B1465"/>
    <w:rsid w:val="005B2384"/>
    <w:rsid w:val="005B2420"/>
    <w:rsid w:val="005B3724"/>
    <w:rsid w:val="005B3C0F"/>
    <w:rsid w:val="005B43F9"/>
    <w:rsid w:val="005B4937"/>
    <w:rsid w:val="005B4A3D"/>
    <w:rsid w:val="005B4B0E"/>
    <w:rsid w:val="005B51A1"/>
    <w:rsid w:val="005B5836"/>
    <w:rsid w:val="005B5F8E"/>
    <w:rsid w:val="005B5FBC"/>
    <w:rsid w:val="005B62F5"/>
    <w:rsid w:val="005B64CB"/>
    <w:rsid w:val="005B6526"/>
    <w:rsid w:val="005B6818"/>
    <w:rsid w:val="005B689D"/>
    <w:rsid w:val="005B68F8"/>
    <w:rsid w:val="005B6B85"/>
    <w:rsid w:val="005B7C94"/>
    <w:rsid w:val="005B7E0B"/>
    <w:rsid w:val="005C01EF"/>
    <w:rsid w:val="005C10BB"/>
    <w:rsid w:val="005C19C2"/>
    <w:rsid w:val="005C206F"/>
    <w:rsid w:val="005C21C6"/>
    <w:rsid w:val="005C2253"/>
    <w:rsid w:val="005C2763"/>
    <w:rsid w:val="005C2C64"/>
    <w:rsid w:val="005C2EFC"/>
    <w:rsid w:val="005C31DE"/>
    <w:rsid w:val="005C32C8"/>
    <w:rsid w:val="005C35A9"/>
    <w:rsid w:val="005C35DF"/>
    <w:rsid w:val="005C3824"/>
    <w:rsid w:val="005C3FEE"/>
    <w:rsid w:val="005C40FE"/>
    <w:rsid w:val="005C54AC"/>
    <w:rsid w:val="005C5770"/>
    <w:rsid w:val="005C5868"/>
    <w:rsid w:val="005C5ACA"/>
    <w:rsid w:val="005C5CD7"/>
    <w:rsid w:val="005C5FE9"/>
    <w:rsid w:val="005C649C"/>
    <w:rsid w:val="005C64DA"/>
    <w:rsid w:val="005C6E3B"/>
    <w:rsid w:val="005C6FBA"/>
    <w:rsid w:val="005C7115"/>
    <w:rsid w:val="005C742C"/>
    <w:rsid w:val="005D00C5"/>
    <w:rsid w:val="005D025B"/>
    <w:rsid w:val="005D06C8"/>
    <w:rsid w:val="005D0A92"/>
    <w:rsid w:val="005D0F39"/>
    <w:rsid w:val="005D11FB"/>
    <w:rsid w:val="005D1D0D"/>
    <w:rsid w:val="005D1DE1"/>
    <w:rsid w:val="005D4810"/>
    <w:rsid w:val="005D497B"/>
    <w:rsid w:val="005D4B30"/>
    <w:rsid w:val="005D4BB0"/>
    <w:rsid w:val="005D4DDA"/>
    <w:rsid w:val="005D4EC0"/>
    <w:rsid w:val="005D4FBA"/>
    <w:rsid w:val="005D510A"/>
    <w:rsid w:val="005D5750"/>
    <w:rsid w:val="005D5D5A"/>
    <w:rsid w:val="005D631B"/>
    <w:rsid w:val="005D6866"/>
    <w:rsid w:val="005D6B24"/>
    <w:rsid w:val="005D6CE2"/>
    <w:rsid w:val="005D6DCF"/>
    <w:rsid w:val="005D7056"/>
    <w:rsid w:val="005D7879"/>
    <w:rsid w:val="005D7ACE"/>
    <w:rsid w:val="005D7C24"/>
    <w:rsid w:val="005E00F8"/>
    <w:rsid w:val="005E09C4"/>
    <w:rsid w:val="005E0B44"/>
    <w:rsid w:val="005E0E1E"/>
    <w:rsid w:val="005E109C"/>
    <w:rsid w:val="005E1195"/>
    <w:rsid w:val="005E13A1"/>
    <w:rsid w:val="005E1567"/>
    <w:rsid w:val="005E1C9F"/>
    <w:rsid w:val="005E28A3"/>
    <w:rsid w:val="005E2B5B"/>
    <w:rsid w:val="005E3122"/>
    <w:rsid w:val="005E4222"/>
    <w:rsid w:val="005E4463"/>
    <w:rsid w:val="005E465C"/>
    <w:rsid w:val="005E4E3A"/>
    <w:rsid w:val="005E4F9D"/>
    <w:rsid w:val="005E58F4"/>
    <w:rsid w:val="005E5AA4"/>
    <w:rsid w:val="005E5D4F"/>
    <w:rsid w:val="005E6324"/>
    <w:rsid w:val="005E655C"/>
    <w:rsid w:val="005E6895"/>
    <w:rsid w:val="005E6C41"/>
    <w:rsid w:val="005E71C2"/>
    <w:rsid w:val="005E746C"/>
    <w:rsid w:val="005E79E2"/>
    <w:rsid w:val="005E7D13"/>
    <w:rsid w:val="005F0157"/>
    <w:rsid w:val="005F0177"/>
    <w:rsid w:val="005F0403"/>
    <w:rsid w:val="005F08DA"/>
    <w:rsid w:val="005F0C7A"/>
    <w:rsid w:val="005F1D74"/>
    <w:rsid w:val="005F1DFE"/>
    <w:rsid w:val="005F2465"/>
    <w:rsid w:val="005F24DE"/>
    <w:rsid w:val="005F25BD"/>
    <w:rsid w:val="005F2A43"/>
    <w:rsid w:val="005F2C9E"/>
    <w:rsid w:val="005F2CCC"/>
    <w:rsid w:val="005F306A"/>
    <w:rsid w:val="005F323F"/>
    <w:rsid w:val="005F32AA"/>
    <w:rsid w:val="005F3738"/>
    <w:rsid w:val="005F3885"/>
    <w:rsid w:val="005F40B4"/>
    <w:rsid w:val="005F45D6"/>
    <w:rsid w:val="005F4AF2"/>
    <w:rsid w:val="005F59F6"/>
    <w:rsid w:val="005F61AE"/>
    <w:rsid w:val="005F62BF"/>
    <w:rsid w:val="005F679E"/>
    <w:rsid w:val="005F6AD9"/>
    <w:rsid w:val="005F6DDE"/>
    <w:rsid w:val="005F6EC4"/>
    <w:rsid w:val="005F7540"/>
    <w:rsid w:val="005F7554"/>
    <w:rsid w:val="005F75A9"/>
    <w:rsid w:val="005F77D4"/>
    <w:rsid w:val="005F7C29"/>
    <w:rsid w:val="00600A83"/>
    <w:rsid w:val="00600ECF"/>
    <w:rsid w:val="00601151"/>
    <w:rsid w:val="006013E9"/>
    <w:rsid w:val="006015A0"/>
    <w:rsid w:val="006019A3"/>
    <w:rsid w:val="00601B08"/>
    <w:rsid w:val="00601B8C"/>
    <w:rsid w:val="00602618"/>
    <w:rsid w:val="00602899"/>
    <w:rsid w:val="00602E4E"/>
    <w:rsid w:val="006030A3"/>
    <w:rsid w:val="0060366E"/>
    <w:rsid w:val="00603A1B"/>
    <w:rsid w:val="006043D8"/>
    <w:rsid w:val="00605DF4"/>
    <w:rsid w:val="00605E1C"/>
    <w:rsid w:val="006061B7"/>
    <w:rsid w:val="00606725"/>
    <w:rsid w:val="00606810"/>
    <w:rsid w:val="006069D2"/>
    <w:rsid w:val="006073D4"/>
    <w:rsid w:val="00607487"/>
    <w:rsid w:val="00607A97"/>
    <w:rsid w:val="00607E31"/>
    <w:rsid w:val="00610082"/>
    <w:rsid w:val="00610235"/>
    <w:rsid w:val="0061038B"/>
    <w:rsid w:val="006115A4"/>
    <w:rsid w:val="00611E76"/>
    <w:rsid w:val="00611EA3"/>
    <w:rsid w:val="0061211C"/>
    <w:rsid w:val="006121A1"/>
    <w:rsid w:val="00612337"/>
    <w:rsid w:val="00612917"/>
    <w:rsid w:val="00612C26"/>
    <w:rsid w:val="00613C13"/>
    <w:rsid w:val="00613D23"/>
    <w:rsid w:val="006144A7"/>
    <w:rsid w:val="006144EB"/>
    <w:rsid w:val="00614C03"/>
    <w:rsid w:val="00615352"/>
    <w:rsid w:val="0061664A"/>
    <w:rsid w:val="00616BD0"/>
    <w:rsid w:val="006172C1"/>
    <w:rsid w:val="00617CDD"/>
    <w:rsid w:val="006202BE"/>
    <w:rsid w:val="00620324"/>
    <w:rsid w:val="006209C6"/>
    <w:rsid w:val="0062168A"/>
    <w:rsid w:val="0062377C"/>
    <w:rsid w:val="006238A7"/>
    <w:rsid w:val="00623A86"/>
    <w:rsid w:val="00624178"/>
    <w:rsid w:val="00625067"/>
    <w:rsid w:val="00625384"/>
    <w:rsid w:val="00625829"/>
    <w:rsid w:val="00625AB1"/>
    <w:rsid w:val="00625B67"/>
    <w:rsid w:val="00625F08"/>
    <w:rsid w:val="00625F4A"/>
    <w:rsid w:val="00626139"/>
    <w:rsid w:val="006261B3"/>
    <w:rsid w:val="00626406"/>
    <w:rsid w:val="006265BF"/>
    <w:rsid w:val="00626C6B"/>
    <w:rsid w:val="00626E9D"/>
    <w:rsid w:val="0062733F"/>
    <w:rsid w:val="00627747"/>
    <w:rsid w:val="00627AE0"/>
    <w:rsid w:val="00627C19"/>
    <w:rsid w:val="00627D38"/>
    <w:rsid w:val="00627F94"/>
    <w:rsid w:val="00630266"/>
    <w:rsid w:val="006310C5"/>
    <w:rsid w:val="00631E0C"/>
    <w:rsid w:val="0063243B"/>
    <w:rsid w:val="00632D12"/>
    <w:rsid w:val="00633459"/>
    <w:rsid w:val="00633BB6"/>
    <w:rsid w:val="00633DDE"/>
    <w:rsid w:val="00634245"/>
    <w:rsid w:val="0063466B"/>
    <w:rsid w:val="0063585E"/>
    <w:rsid w:val="00635CC1"/>
    <w:rsid w:val="00635F79"/>
    <w:rsid w:val="00636CA5"/>
    <w:rsid w:val="00636E81"/>
    <w:rsid w:val="00636ECB"/>
    <w:rsid w:val="00636FEE"/>
    <w:rsid w:val="00636FF4"/>
    <w:rsid w:val="0063752D"/>
    <w:rsid w:val="00637554"/>
    <w:rsid w:val="0063772A"/>
    <w:rsid w:val="00637D74"/>
    <w:rsid w:val="00640DF2"/>
    <w:rsid w:val="00640F7C"/>
    <w:rsid w:val="006415C3"/>
    <w:rsid w:val="00641A55"/>
    <w:rsid w:val="00641C48"/>
    <w:rsid w:val="006421D3"/>
    <w:rsid w:val="00642BED"/>
    <w:rsid w:val="00642E0A"/>
    <w:rsid w:val="00643299"/>
    <w:rsid w:val="00643515"/>
    <w:rsid w:val="00643724"/>
    <w:rsid w:val="0064396A"/>
    <w:rsid w:val="0064397A"/>
    <w:rsid w:val="0064436C"/>
    <w:rsid w:val="00644423"/>
    <w:rsid w:val="006450A6"/>
    <w:rsid w:val="006453B8"/>
    <w:rsid w:val="00645531"/>
    <w:rsid w:val="00645BF2"/>
    <w:rsid w:val="00646598"/>
    <w:rsid w:val="006469D6"/>
    <w:rsid w:val="00647228"/>
    <w:rsid w:val="006474F5"/>
    <w:rsid w:val="0064766D"/>
    <w:rsid w:val="006476FA"/>
    <w:rsid w:val="00647B05"/>
    <w:rsid w:val="00647D5C"/>
    <w:rsid w:val="00647EFF"/>
    <w:rsid w:val="00650040"/>
    <w:rsid w:val="00650091"/>
    <w:rsid w:val="00650351"/>
    <w:rsid w:val="00650AB4"/>
    <w:rsid w:val="00650C77"/>
    <w:rsid w:val="00650E1D"/>
    <w:rsid w:val="00651257"/>
    <w:rsid w:val="006514EF"/>
    <w:rsid w:val="0065176F"/>
    <w:rsid w:val="0065192B"/>
    <w:rsid w:val="006519BE"/>
    <w:rsid w:val="006519CD"/>
    <w:rsid w:val="006519EF"/>
    <w:rsid w:val="00651DDC"/>
    <w:rsid w:val="006528CF"/>
    <w:rsid w:val="00652FBC"/>
    <w:rsid w:val="00653020"/>
    <w:rsid w:val="006543E2"/>
    <w:rsid w:val="00654938"/>
    <w:rsid w:val="0065501D"/>
    <w:rsid w:val="00655653"/>
    <w:rsid w:val="006556E3"/>
    <w:rsid w:val="00656352"/>
    <w:rsid w:val="00656A31"/>
    <w:rsid w:val="00656B16"/>
    <w:rsid w:val="00656DBB"/>
    <w:rsid w:val="00656F6C"/>
    <w:rsid w:val="00657211"/>
    <w:rsid w:val="00657BC3"/>
    <w:rsid w:val="00657C04"/>
    <w:rsid w:val="00657C90"/>
    <w:rsid w:val="0066052D"/>
    <w:rsid w:val="0066063F"/>
    <w:rsid w:val="00660F18"/>
    <w:rsid w:val="0066136B"/>
    <w:rsid w:val="00661B99"/>
    <w:rsid w:val="00661C28"/>
    <w:rsid w:val="00661E5A"/>
    <w:rsid w:val="00662697"/>
    <w:rsid w:val="006636C8"/>
    <w:rsid w:val="00663DEF"/>
    <w:rsid w:val="00664915"/>
    <w:rsid w:val="00665210"/>
    <w:rsid w:val="00665710"/>
    <w:rsid w:val="00666241"/>
    <w:rsid w:val="00667234"/>
    <w:rsid w:val="00667601"/>
    <w:rsid w:val="0066766D"/>
    <w:rsid w:val="006678D9"/>
    <w:rsid w:val="00667C17"/>
    <w:rsid w:val="00670977"/>
    <w:rsid w:val="00670CFD"/>
    <w:rsid w:val="00670ED0"/>
    <w:rsid w:val="00670F0E"/>
    <w:rsid w:val="00671187"/>
    <w:rsid w:val="0067127E"/>
    <w:rsid w:val="006713D1"/>
    <w:rsid w:val="00671872"/>
    <w:rsid w:val="00671B0F"/>
    <w:rsid w:val="00672181"/>
    <w:rsid w:val="00672732"/>
    <w:rsid w:val="00673405"/>
    <w:rsid w:val="006746E4"/>
    <w:rsid w:val="006754ED"/>
    <w:rsid w:val="006755CF"/>
    <w:rsid w:val="006755F8"/>
    <w:rsid w:val="0067582A"/>
    <w:rsid w:val="00675D0B"/>
    <w:rsid w:val="0067677C"/>
    <w:rsid w:val="00676B57"/>
    <w:rsid w:val="00677318"/>
    <w:rsid w:val="00677455"/>
    <w:rsid w:val="0067792E"/>
    <w:rsid w:val="00677C73"/>
    <w:rsid w:val="00677E78"/>
    <w:rsid w:val="00677F69"/>
    <w:rsid w:val="00680DF6"/>
    <w:rsid w:val="0068123B"/>
    <w:rsid w:val="00681589"/>
    <w:rsid w:val="00681918"/>
    <w:rsid w:val="00681D36"/>
    <w:rsid w:val="00681F40"/>
    <w:rsid w:val="006820E4"/>
    <w:rsid w:val="0068243E"/>
    <w:rsid w:val="0068248A"/>
    <w:rsid w:val="00683424"/>
    <w:rsid w:val="0068347E"/>
    <w:rsid w:val="006836D0"/>
    <w:rsid w:val="00683E89"/>
    <w:rsid w:val="00683FBD"/>
    <w:rsid w:val="00684AB8"/>
    <w:rsid w:val="00684CCC"/>
    <w:rsid w:val="00684D3B"/>
    <w:rsid w:val="006850C8"/>
    <w:rsid w:val="006853C9"/>
    <w:rsid w:val="006853DE"/>
    <w:rsid w:val="0068546B"/>
    <w:rsid w:val="00685AEB"/>
    <w:rsid w:val="00685B55"/>
    <w:rsid w:val="00685C50"/>
    <w:rsid w:val="00685D57"/>
    <w:rsid w:val="006861C4"/>
    <w:rsid w:val="0068649E"/>
    <w:rsid w:val="00686ED7"/>
    <w:rsid w:val="00687A7F"/>
    <w:rsid w:val="00690175"/>
    <w:rsid w:val="0069019E"/>
    <w:rsid w:val="00690302"/>
    <w:rsid w:val="00690BBA"/>
    <w:rsid w:val="006918B7"/>
    <w:rsid w:val="00691EB1"/>
    <w:rsid w:val="00691F3D"/>
    <w:rsid w:val="00692528"/>
    <w:rsid w:val="00692799"/>
    <w:rsid w:val="006928A8"/>
    <w:rsid w:val="00692C4F"/>
    <w:rsid w:val="00692E16"/>
    <w:rsid w:val="00693324"/>
    <w:rsid w:val="006937C2"/>
    <w:rsid w:val="00693824"/>
    <w:rsid w:val="00693AD7"/>
    <w:rsid w:val="0069449B"/>
    <w:rsid w:val="00694916"/>
    <w:rsid w:val="006949E8"/>
    <w:rsid w:val="00694ACD"/>
    <w:rsid w:val="00694DC4"/>
    <w:rsid w:val="00694F19"/>
    <w:rsid w:val="00694F3C"/>
    <w:rsid w:val="00694FAA"/>
    <w:rsid w:val="00694FBC"/>
    <w:rsid w:val="006954EF"/>
    <w:rsid w:val="006957A6"/>
    <w:rsid w:val="006958F9"/>
    <w:rsid w:val="006959C5"/>
    <w:rsid w:val="0069606C"/>
    <w:rsid w:val="006962FE"/>
    <w:rsid w:val="006964EE"/>
    <w:rsid w:val="0069689A"/>
    <w:rsid w:val="006968F1"/>
    <w:rsid w:val="0069697B"/>
    <w:rsid w:val="00696CE7"/>
    <w:rsid w:val="0069708E"/>
    <w:rsid w:val="00697BCA"/>
    <w:rsid w:val="006A054F"/>
    <w:rsid w:val="006A05F5"/>
    <w:rsid w:val="006A0E10"/>
    <w:rsid w:val="006A1095"/>
    <w:rsid w:val="006A1230"/>
    <w:rsid w:val="006A1E72"/>
    <w:rsid w:val="006A200F"/>
    <w:rsid w:val="006A21F0"/>
    <w:rsid w:val="006A28A6"/>
    <w:rsid w:val="006A2BDB"/>
    <w:rsid w:val="006A2F4F"/>
    <w:rsid w:val="006A3010"/>
    <w:rsid w:val="006A367A"/>
    <w:rsid w:val="006A3B8F"/>
    <w:rsid w:val="006A3C57"/>
    <w:rsid w:val="006A3CDE"/>
    <w:rsid w:val="006A3E78"/>
    <w:rsid w:val="006A433D"/>
    <w:rsid w:val="006A452E"/>
    <w:rsid w:val="006A48FB"/>
    <w:rsid w:val="006A4A4B"/>
    <w:rsid w:val="006A4C16"/>
    <w:rsid w:val="006A4DA5"/>
    <w:rsid w:val="006A5903"/>
    <w:rsid w:val="006A59AE"/>
    <w:rsid w:val="006A5D48"/>
    <w:rsid w:val="006A5D6A"/>
    <w:rsid w:val="006A619D"/>
    <w:rsid w:val="006A6249"/>
    <w:rsid w:val="006A66F3"/>
    <w:rsid w:val="006A6840"/>
    <w:rsid w:val="006A6923"/>
    <w:rsid w:val="006A6E07"/>
    <w:rsid w:val="006A76B6"/>
    <w:rsid w:val="006A7BB1"/>
    <w:rsid w:val="006B0686"/>
    <w:rsid w:val="006B0A20"/>
    <w:rsid w:val="006B15DC"/>
    <w:rsid w:val="006B179A"/>
    <w:rsid w:val="006B211B"/>
    <w:rsid w:val="006B2906"/>
    <w:rsid w:val="006B2B4D"/>
    <w:rsid w:val="006B2C6E"/>
    <w:rsid w:val="006B2E70"/>
    <w:rsid w:val="006B32F7"/>
    <w:rsid w:val="006B3389"/>
    <w:rsid w:val="006B3495"/>
    <w:rsid w:val="006B372D"/>
    <w:rsid w:val="006B4265"/>
    <w:rsid w:val="006B432B"/>
    <w:rsid w:val="006B4DFD"/>
    <w:rsid w:val="006B4ECF"/>
    <w:rsid w:val="006B509C"/>
    <w:rsid w:val="006B5908"/>
    <w:rsid w:val="006B5BCF"/>
    <w:rsid w:val="006B625B"/>
    <w:rsid w:val="006B6A9C"/>
    <w:rsid w:val="006B6B37"/>
    <w:rsid w:val="006B6EB7"/>
    <w:rsid w:val="006B73BA"/>
    <w:rsid w:val="006B7C17"/>
    <w:rsid w:val="006B7EA8"/>
    <w:rsid w:val="006B7F1F"/>
    <w:rsid w:val="006C0E17"/>
    <w:rsid w:val="006C0F37"/>
    <w:rsid w:val="006C118A"/>
    <w:rsid w:val="006C135C"/>
    <w:rsid w:val="006C1ACA"/>
    <w:rsid w:val="006C236C"/>
    <w:rsid w:val="006C31FE"/>
    <w:rsid w:val="006C324B"/>
    <w:rsid w:val="006C344E"/>
    <w:rsid w:val="006C39BF"/>
    <w:rsid w:val="006C3ACB"/>
    <w:rsid w:val="006C401B"/>
    <w:rsid w:val="006C40ED"/>
    <w:rsid w:val="006C42DA"/>
    <w:rsid w:val="006C492F"/>
    <w:rsid w:val="006C4A2F"/>
    <w:rsid w:val="006C5513"/>
    <w:rsid w:val="006C5746"/>
    <w:rsid w:val="006C66CA"/>
    <w:rsid w:val="006C7556"/>
    <w:rsid w:val="006C79D4"/>
    <w:rsid w:val="006D0512"/>
    <w:rsid w:val="006D0A88"/>
    <w:rsid w:val="006D0E66"/>
    <w:rsid w:val="006D1464"/>
    <w:rsid w:val="006D1493"/>
    <w:rsid w:val="006D1505"/>
    <w:rsid w:val="006D187C"/>
    <w:rsid w:val="006D1CFE"/>
    <w:rsid w:val="006D1FEB"/>
    <w:rsid w:val="006D2DD1"/>
    <w:rsid w:val="006D3A70"/>
    <w:rsid w:val="006D483F"/>
    <w:rsid w:val="006D49E3"/>
    <w:rsid w:val="006D4A60"/>
    <w:rsid w:val="006D4C1B"/>
    <w:rsid w:val="006D502A"/>
    <w:rsid w:val="006D50DB"/>
    <w:rsid w:val="006D611A"/>
    <w:rsid w:val="006D6415"/>
    <w:rsid w:val="006D66AB"/>
    <w:rsid w:val="006D6783"/>
    <w:rsid w:val="006D6DA2"/>
    <w:rsid w:val="006D71B5"/>
    <w:rsid w:val="006D7512"/>
    <w:rsid w:val="006D764B"/>
    <w:rsid w:val="006D76E0"/>
    <w:rsid w:val="006D77FF"/>
    <w:rsid w:val="006D7853"/>
    <w:rsid w:val="006D7B95"/>
    <w:rsid w:val="006D7BC0"/>
    <w:rsid w:val="006E03AA"/>
    <w:rsid w:val="006E0AEF"/>
    <w:rsid w:val="006E1692"/>
    <w:rsid w:val="006E1F7C"/>
    <w:rsid w:val="006E270A"/>
    <w:rsid w:val="006E28FF"/>
    <w:rsid w:val="006E2B57"/>
    <w:rsid w:val="006E2E69"/>
    <w:rsid w:val="006E2F55"/>
    <w:rsid w:val="006E3058"/>
    <w:rsid w:val="006E3A53"/>
    <w:rsid w:val="006E4675"/>
    <w:rsid w:val="006E4C31"/>
    <w:rsid w:val="006E4CFB"/>
    <w:rsid w:val="006E5A8D"/>
    <w:rsid w:val="006E5B07"/>
    <w:rsid w:val="006E5C3B"/>
    <w:rsid w:val="006E601F"/>
    <w:rsid w:val="006E6084"/>
    <w:rsid w:val="006E6764"/>
    <w:rsid w:val="006E6E35"/>
    <w:rsid w:val="006E6FD0"/>
    <w:rsid w:val="006E73CF"/>
    <w:rsid w:val="006E7B5C"/>
    <w:rsid w:val="006E7F18"/>
    <w:rsid w:val="006F020D"/>
    <w:rsid w:val="006F0910"/>
    <w:rsid w:val="006F0B21"/>
    <w:rsid w:val="006F104A"/>
    <w:rsid w:val="006F11EA"/>
    <w:rsid w:val="006F1249"/>
    <w:rsid w:val="006F1424"/>
    <w:rsid w:val="006F1447"/>
    <w:rsid w:val="006F1674"/>
    <w:rsid w:val="006F170A"/>
    <w:rsid w:val="006F1CD6"/>
    <w:rsid w:val="006F27F2"/>
    <w:rsid w:val="006F28AF"/>
    <w:rsid w:val="006F3ED4"/>
    <w:rsid w:val="006F4099"/>
    <w:rsid w:val="006F4D39"/>
    <w:rsid w:val="006F4D47"/>
    <w:rsid w:val="006F4EA0"/>
    <w:rsid w:val="006F514F"/>
    <w:rsid w:val="006F515F"/>
    <w:rsid w:val="006F51A2"/>
    <w:rsid w:val="006F5CE2"/>
    <w:rsid w:val="006F5E20"/>
    <w:rsid w:val="006F6058"/>
    <w:rsid w:val="006F646A"/>
    <w:rsid w:val="006F6CB8"/>
    <w:rsid w:val="006F6D1A"/>
    <w:rsid w:val="006F6E6A"/>
    <w:rsid w:val="006F7216"/>
    <w:rsid w:val="006F7679"/>
    <w:rsid w:val="006F7806"/>
    <w:rsid w:val="00700380"/>
    <w:rsid w:val="007004BE"/>
    <w:rsid w:val="00700E0C"/>
    <w:rsid w:val="0070110B"/>
    <w:rsid w:val="0070123B"/>
    <w:rsid w:val="0070166E"/>
    <w:rsid w:val="007016FC"/>
    <w:rsid w:val="00702240"/>
    <w:rsid w:val="00702442"/>
    <w:rsid w:val="00702F0B"/>
    <w:rsid w:val="00703477"/>
    <w:rsid w:val="00703576"/>
    <w:rsid w:val="00703A19"/>
    <w:rsid w:val="00703A68"/>
    <w:rsid w:val="00703A8E"/>
    <w:rsid w:val="00703C59"/>
    <w:rsid w:val="00703EA2"/>
    <w:rsid w:val="00704B40"/>
    <w:rsid w:val="00704D6A"/>
    <w:rsid w:val="00705267"/>
    <w:rsid w:val="007069D1"/>
    <w:rsid w:val="007070DA"/>
    <w:rsid w:val="0070712F"/>
    <w:rsid w:val="00707201"/>
    <w:rsid w:val="00707594"/>
    <w:rsid w:val="007102D2"/>
    <w:rsid w:val="007106C3"/>
    <w:rsid w:val="00710965"/>
    <w:rsid w:val="00711658"/>
    <w:rsid w:val="007119C9"/>
    <w:rsid w:val="00711D58"/>
    <w:rsid w:val="00711ED7"/>
    <w:rsid w:val="00711FC7"/>
    <w:rsid w:val="0071277B"/>
    <w:rsid w:val="00713482"/>
    <w:rsid w:val="007134D2"/>
    <w:rsid w:val="0071357A"/>
    <w:rsid w:val="00713592"/>
    <w:rsid w:val="0071388B"/>
    <w:rsid w:val="00713BB1"/>
    <w:rsid w:val="0071407F"/>
    <w:rsid w:val="00715B8D"/>
    <w:rsid w:val="00715D47"/>
    <w:rsid w:val="0071640B"/>
    <w:rsid w:val="00716F82"/>
    <w:rsid w:val="00717258"/>
    <w:rsid w:val="007172B5"/>
    <w:rsid w:val="007173F0"/>
    <w:rsid w:val="00717C25"/>
    <w:rsid w:val="00717CB9"/>
    <w:rsid w:val="00717EC1"/>
    <w:rsid w:val="00717FF1"/>
    <w:rsid w:val="007200E8"/>
    <w:rsid w:val="00720176"/>
    <w:rsid w:val="0072086E"/>
    <w:rsid w:val="007209E8"/>
    <w:rsid w:val="00721247"/>
    <w:rsid w:val="00721488"/>
    <w:rsid w:val="00721546"/>
    <w:rsid w:val="00721552"/>
    <w:rsid w:val="00721E9D"/>
    <w:rsid w:val="00721F65"/>
    <w:rsid w:val="00721FD7"/>
    <w:rsid w:val="00721FDE"/>
    <w:rsid w:val="007225A5"/>
    <w:rsid w:val="00722EBF"/>
    <w:rsid w:val="00722ED2"/>
    <w:rsid w:val="00723258"/>
    <w:rsid w:val="00723376"/>
    <w:rsid w:val="0072474F"/>
    <w:rsid w:val="00724780"/>
    <w:rsid w:val="0072488D"/>
    <w:rsid w:val="00725913"/>
    <w:rsid w:val="00725964"/>
    <w:rsid w:val="00725A84"/>
    <w:rsid w:val="00725D05"/>
    <w:rsid w:val="00725EFD"/>
    <w:rsid w:val="007263B7"/>
    <w:rsid w:val="00726D4E"/>
    <w:rsid w:val="0072761C"/>
    <w:rsid w:val="007309E3"/>
    <w:rsid w:val="00730DF0"/>
    <w:rsid w:val="00730FB5"/>
    <w:rsid w:val="0073132F"/>
    <w:rsid w:val="00731C1F"/>
    <w:rsid w:val="0073205E"/>
    <w:rsid w:val="00732769"/>
    <w:rsid w:val="00732FD0"/>
    <w:rsid w:val="007334B1"/>
    <w:rsid w:val="00733792"/>
    <w:rsid w:val="007337C9"/>
    <w:rsid w:val="007338E5"/>
    <w:rsid w:val="00733C46"/>
    <w:rsid w:val="00734840"/>
    <w:rsid w:val="00734873"/>
    <w:rsid w:val="00735304"/>
    <w:rsid w:val="00735F01"/>
    <w:rsid w:val="0073612E"/>
    <w:rsid w:val="0073642B"/>
    <w:rsid w:val="00737412"/>
    <w:rsid w:val="007376B9"/>
    <w:rsid w:val="007378BE"/>
    <w:rsid w:val="007379F6"/>
    <w:rsid w:val="00737F2D"/>
    <w:rsid w:val="00737FD1"/>
    <w:rsid w:val="00740C5F"/>
    <w:rsid w:val="00740C8F"/>
    <w:rsid w:val="007410CC"/>
    <w:rsid w:val="00741311"/>
    <w:rsid w:val="007421F4"/>
    <w:rsid w:val="007424D7"/>
    <w:rsid w:val="007429AA"/>
    <w:rsid w:val="00742BAA"/>
    <w:rsid w:val="00742F08"/>
    <w:rsid w:val="007432D9"/>
    <w:rsid w:val="007434B4"/>
    <w:rsid w:val="00743A18"/>
    <w:rsid w:val="00743D11"/>
    <w:rsid w:val="00743DC4"/>
    <w:rsid w:val="00744339"/>
    <w:rsid w:val="00744349"/>
    <w:rsid w:val="0074444F"/>
    <w:rsid w:val="007447DA"/>
    <w:rsid w:val="00744967"/>
    <w:rsid w:val="00744B51"/>
    <w:rsid w:val="00745AAF"/>
    <w:rsid w:val="00745CB7"/>
    <w:rsid w:val="0074614F"/>
    <w:rsid w:val="00746324"/>
    <w:rsid w:val="00746A4C"/>
    <w:rsid w:val="00746E30"/>
    <w:rsid w:val="00746F25"/>
    <w:rsid w:val="00746FC0"/>
    <w:rsid w:val="007471C9"/>
    <w:rsid w:val="00747540"/>
    <w:rsid w:val="0074769B"/>
    <w:rsid w:val="00747C5A"/>
    <w:rsid w:val="00747CA9"/>
    <w:rsid w:val="0075020A"/>
    <w:rsid w:val="00750217"/>
    <w:rsid w:val="00750298"/>
    <w:rsid w:val="00750A12"/>
    <w:rsid w:val="00750B8A"/>
    <w:rsid w:val="00750CDD"/>
    <w:rsid w:val="0075140B"/>
    <w:rsid w:val="00751FAA"/>
    <w:rsid w:val="007525F5"/>
    <w:rsid w:val="007527E5"/>
    <w:rsid w:val="00752A44"/>
    <w:rsid w:val="00752E57"/>
    <w:rsid w:val="00752EE4"/>
    <w:rsid w:val="007531CD"/>
    <w:rsid w:val="00753352"/>
    <w:rsid w:val="00753AB7"/>
    <w:rsid w:val="00753AED"/>
    <w:rsid w:val="00753E3C"/>
    <w:rsid w:val="00754017"/>
    <w:rsid w:val="0075447C"/>
    <w:rsid w:val="00754AE0"/>
    <w:rsid w:val="00755500"/>
    <w:rsid w:val="007556B5"/>
    <w:rsid w:val="007557F4"/>
    <w:rsid w:val="0075583D"/>
    <w:rsid w:val="0075589E"/>
    <w:rsid w:val="00755D03"/>
    <w:rsid w:val="00756116"/>
    <w:rsid w:val="00756444"/>
    <w:rsid w:val="00756569"/>
    <w:rsid w:val="0075656D"/>
    <w:rsid w:val="007571E0"/>
    <w:rsid w:val="00757260"/>
    <w:rsid w:val="007572AF"/>
    <w:rsid w:val="00757867"/>
    <w:rsid w:val="00757A00"/>
    <w:rsid w:val="00757B0A"/>
    <w:rsid w:val="00760A6C"/>
    <w:rsid w:val="00760CEA"/>
    <w:rsid w:val="00761080"/>
    <w:rsid w:val="00761141"/>
    <w:rsid w:val="0076122A"/>
    <w:rsid w:val="00761255"/>
    <w:rsid w:val="007626DE"/>
    <w:rsid w:val="00762B18"/>
    <w:rsid w:val="00762E86"/>
    <w:rsid w:val="007634F7"/>
    <w:rsid w:val="0076383F"/>
    <w:rsid w:val="00763938"/>
    <w:rsid w:val="0076398E"/>
    <w:rsid w:val="00763991"/>
    <w:rsid w:val="00764026"/>
    <w:rsid w:val="00764151"/>
    <w:rsid w:val="00764E7F"/>
    <w:rsid w:val="00764F74"/>
    <w:rsid w:val="007652BD"/>
    <w:rsid w:val="0076539B"/>
    <w:rsid w:val="00765992"/>
    <w:rsid w:val="00765ACD"/>
    <w:rsid w:val="00765D20"/>
    <w:rsid w:val="00765DA0"/>
    <w:rsid w:val="00766190"/>
    <w:rsid w:val="007671CF"/>
    <w:rsid w:val="00767218"/>
    <w:rsid w:val="007673E8"/>
    <w:rsid w:val="0076749E"/>
    <w:rsid w:val="007676EE"/>
    <w:rsid w:val="00767A67"/>
    <w:rsid w:val="00767C6C"/>
    <w:rsid w:val="00770902"/>
    <w:rsid w:val="00770CEF"/>
    <w:rsid w:val="00771275"/>
    <w:rsid w:val="00771418"/>
    <w:rsid w:val="00771438"/>
    <w:rsid w:val="007718EB"/>
    <w:rsid w:val="00771AC4"/>
    <w:rsid w:val="00771D90"/>
    <w:rsid w:val="007723A8"/>
    <w:rsid w:val="00772922"/>
    <w:rsid w:val="00772B12"/>
    <w:rsid w:val="0077306D"/>
    <w:rsid w:val="00773171"/>
    <w:rsid w:val="007732BA"/>
    <w:rsid w:val="007733BE"/>
    <w:rsid w:val="00773510"/>
    <w:rsid w:val="007738A4"/>
    <w:rsid w:val="00773E59"/>
    <w:rsid w:val="00773F2E"/>
    <w:rsid w:val="007741E1"/>
    <w:rsid w:val="00774373"/>
    <w:rsid w:val="00774A24"/>
    <w:rsid w:val="00774E1A"/>
    <w:rsid w:val="00775146"/>
    <w:rsid w:val="00775530"/>
    <w:rsid w:val="0077582F"/>
    <w:rsid w:val="007761D7"/>
    <w:rsid w:val="00776848"/>
    <w:rsid w:val="00776ADC"/>
    <w:rsid w:val="0077715A"/>
    <w:rsid w:val="007775AB"/>
    <w:rsid w:val="007775E5"/>
    <w:rsid w:val="007775E9"/>
    <w:rsid w:val="0077775B"/>
    <w:rsid w:val="00777A34"/>
    <w:rsid w:val="00777D3D"/>
    <w:rsid w:val="00777DA5"/>
    <w:rsid w:val="007809B9"/>
    <w:rsid w:val="00781757"/>
    <w:rsid w:val="007819B9"/>
    <w:rsid w:val="00781BA0"/>
    <w:rsid w:val="00781DE3"/>
    <w:rsid w:val="007827B7"/>
    <w:rsid w:val="007830A9"/>
    <w:rsid w:val="007834B0"/>
    <w:rsid w:val="00783A8E"/>
    <w:rsid w:val="00783CCB"/>
    <w:rsid w:val="00783F7B"/>
    <w:rsid w:val="00784207"/>
    <w:rsid w:val="00784230"/>
    <w:rsid w:val="00784A6D"/>
    <w:rsid w:val="00784B6E"/>
    <w:rsid w:val="00784E37"/>
    <w:rsid w:val="00785159"/>
    <w:rsid w:val="007852B2"/>
    <w:rsid w:val="007855FE"/>
    <w:rsid w:val="007858BC"/>
    <w:rsid w:val="007858D0"/>
    <w:rsid w:val="007858E9"/>
    <w:rsid w:val="00785B9C"/>
    <w:rsid w:val="0078615F"/>
    <w:rsid w:val="007862B4"/>
    <w:rsid w:val="0078671D"/>
    <w:rsid w:val="00786B8C"/>
    <w:rsid w:val="00786F2C"/>
    <w:rsid w:val="00787167"/>
    <w:rsid w:val="00787CDE"/>
    <w:rsid w:val="00787D78"/>
    <w:rsid w:val="00787DF2"/>
    <w:rsid w:val="00787E6D"/>
    <w:rsid w:val="00790879"/>
    <w:rsid w:val="007912C5"/>
    <w:rsid w:val="0079136D"/>
    <w:rsid w:val="00791798"/>
    <w:rsid w:val="007925A0"/>
    <w:rsid w:val="007929EE"/>
    <w:rsid w:val="00793326"/>
    <w:rsid w:val="007935FC"/>
    <w:rsid w:val="00794084"/>
    <w:rsid w:val="00794098"/>
    <w:rsid w:val="007940D0"/>
    <w:rsid w:val="00794233"/>
    <w:rsid w:val="0079438A"/>
    <w:rsid w:val="007949D5"/>
    <w:rsid w:val="007951A3"/>
    <w:rsid w:val="0079566B"/>
    <w:rsid w:val="00795844"/>
    <w:rsid w:val="007959B2"/>
    <w:rsid w:val="00795B98"/>
    <w:rsid w:val="00795C54"/>
    <w:rsid w:val="007961CD"/>
    <w:rsid w:val="0079628C"/>
    <w:rsid w:val="007963C4"/>
    <w:rsid w:val="00796A91"/>
    <w:rsid w:val="00796D57"/>
    <w:rsid w:val="007A05C7"/>
    <w:rsid w:val="007A0946"/>
    <w:rsid w:val="007A0A8B"/>
    <w:rsid w:val="007A0AF1"/>
    <w:rsid w:val="007A0DEA"/>
    <w:rsid w:val="007A0F92"/>
    <w:rsid w:val="007A1A4D"/>
    <w:rsid w:val="007A231F"/>
    <w:rsid w:val="007A2773"/>
    <w:rsid w:val="007A2A34"/>
    <w:rsid w:val="007A2BA4"/>
    <w:rsid w:val="007A2C73"/>
    <w:rsid w:val="007A31D5"/>
    <w:rsid w:val="007A3ED4"/>
    <w:rsid w:val="007A3F36"/>
    <w:rsid w:val="007A44E6"/>
    <w:rsid w:val="007A53AF"/>
    <w:rsid w:val="007A581A"/>
    <w:rsid w:val="007A5B0D"/>
    <w:rsid w:val="007A5D43"/>
    <w:rsid w:val="007A5DF8"/>
    <w:rsid w:val="007A5FAB"/>
    <w:rsid w:val="007A7392"/>
    <w:rsid w:val="007A75BD"/>
    <w:rsid w:val="007A7E06"/>
    <w:rsid w:val="007B00FF"/>
    <w:rsid w:val="007B026A"/>
    <w:rsid w:val="007B060A"/>
    <w:rsid w:val="007B0BA3"/>
    <w:rsid w:val="007B0C31"/>
    <w:rsid w:val="007B0C8B"/>
    <w:rsid w:val="007B18CE"/>
    <w:rsid w:val="007B1C81"/>
    <w:rsid w:val="007B1DEA"/>
    <w:rsid w:val="007B1F21"/>
    <w:rsid w:val="007B2742"/>
    <w:rsid w:val="007B28DD"/>
    <w:rsid w:val="007B2D07"/>
    <w:rsid w:val="007B3C1D"/>
    <w:rsid w:val="007B4406"/>
    <w:rsid w:val="007B485C"/>
    <w:rsid w:val="007B4D23"/>
    <w:rsid w:val="007B5373"/>
    <w:rsid w:val="007B5579"/>
    <w:rsid w:val="007B5B40"/>
    <w:rsid w:val="007B63C0"/>
    <w:rsid w:val="007B68ED"/>
    <w:rsid w:val="007B695F"/>
    <w:rsid w:val="007B7095"/>
    <w:rsid w:val="007C04D6"/>
    <w:rsid w:val="007C09D1"/>
    <w:rsid w:val="007C12AE"/>
    <w:rsid w:val="007C1382"/>
    <w:rsid w:val="007C1830"/>
    <w:rsid w:val="007C1B9F"/>
    <w:rsid w:val="007C2772"/>
    <w:rsid w:val="007C2D9C"/>
    <w:rsid w:val="007C2E37"/>
    <w:rsid w:val="007C46C4"/>
    <w:rsid w:val="007C4BC3"/>
    <w:rsid w:val="007C55A0"/>
    <w:rsid w:val="007C58DB"/>
    <w:rsid w:val="007C6149"/>
    <w:rsid w:val="007C61BF"/>
    <w:rsid w:val="007C6D1B"/>
    <w:rsid w:val="007C6FF2"/>
    <w:rsid w:val="007C71FA"/>
    <w:rsid w:val="007C72D0"/>
    <w:rsid w:val="007C739F"/>
    <w:rsid w:val="007C7F98"/>
    <w:rsid w:val="007D058C"/>
    <w:rsid w:val="007D06F8"/>
    <w:rsid w:val="007D08B6"/>
    <w:rsid w:val="007D0D17"/>
    <w:rsid w:val="007D0F75"/>
    <w:rsid w:val="007D10C6"/>
    <w:rsid w:val="007D1A64"/>
    <w:rsid w:val="007D1E53"/>
    <w:rsid w:val="007D267A"/>
    <w:rsid w:val="007D2794"/>
    <w:rsid w:val="007D31CB"/>
    <w:rsid w:val="007D353C"/>
    <w:rsid w:val="007D354C"/>
    <w:rsid w:val="007D35FE"/>
    <w:rsid w:val="007D36CA"/>
    <w:rsid w:val="007D395E"/>
    <w:rsid w:val="007D42D3"/>
    <w:rsid w:val="007D4383"/>
    <w:rsid w:val="007D446A"/>
    <w:rsid w:val="007D45F2"/>
    <w:rsid w:val="007D4C5F"/>
    <w:rsid w:val="007D4C7F"/>
    <w:rsid w:val="007D5864"/>
    <w:rsid w:val="007D6154"/>
    <w:rsid w:val="007D62BB"/>
    <w:rsid w:val="007D6937"/>
    <w:rsid w:val="007D6ADF"/>
    <w:rsid w:val="007D6F00"/>
    <w:rsid w:val="007D6F16"/>
    <w:rsid w:val="007D7260"/>
    <w:rsid w:val="007D737E"/>
    <w:rsid w:val="007D7A9D"/>
    <w:rsid w:val="007E0516"/>
    <w:rsid w:val="007E0AB8"/>
    <w:rsid w:val="007E0CD5"/>
    <w:rsid w:val="007E13FC"/>
    <w:rsid w:val="007E16FC"/>
    <w:rsid w:val="007E19BF"/>
    <w:rsid w:val="007E21BA"/>
    <w:rsid w:val="007E25A4"/>
    <w:rsid w:val="007E28D4"/>
    <w:rsid w:val="007E2EA0"/>
    <w:rsid w:val="007E333C"/>
    <w:rsid w:val="007E3F22"/>
    <w:rsid w:val="007E4CC2"/>
    <w:rsid w:val="007E5C06"/>
    <w:rsid w:val="007E5C0D"/>
    <w:rsid w:val="007E61A4"/>
    <w:rsid w:val="007E61B6"/>
    <w:rsid w:val="007E66AE"/>
    <w:rsid w:val="007E67D4"/>
    <w:rsid w:val="007E698B"/>
    <w:rsid w:val="007E6A8A"/>
    <w:rsid w:val="007E6C09"/>
    <w:rsid w:val="007E708A"/>
    <w:rsid w:val="007E719E"/>
    <w:rsid w:val="007E7434"/>
    <w:rsid w:val="007E7995"/>
    <w:rsid w:val="007E7E7D"/>
    <w:rsid w:val="007E7F9E"/>
    <w:rsid w:val="007F0053"/>
    <w:rsid w:val="007F07F1"/>
    <w:rsid w:val="007F11F4"/>
    <w:rsid w:val="007F1288"/>
    <w:rsid w:val="007F1384"/>
    <w:rsid w:val="007F2259"/>
    <w:rsid w:val="007F24F6"/>
    <w:rsid w:val="007F26C5"/>
    <w:rsid w:val="007F2A2A"/>
    <w:rsid w:val="007F412A"/>
    <w:rsid w:val="007F41FE"/>
    <w:rsid w:val="007F455B"/>
    <w:rsid w:val="007F5142"/>
    <w:rsid w:val="007F53BA"/>
    <w:rsid w:val="007F566C"/>
    <w:rsid w:val="007F5992"/>
    <w:rsid w:val="007F5A02"/>
    <w:rsid w:val="007F5ED9"/>
    <w:rsid w:val="007F659E"/>
    <w:rsid w:val="007F6A7C"/>
    <w:rsid w:val="007F6BED"/>
    <w:rsid w:val="007F6F18"/>
    <w:rsid w:val="007F6F20"/>
    <w:rsid w:val="007F7513"/>
    <w:rsid w:val="007F77CA"/>
    <w:rsid w:val="007F787A"/>
    <w:rsid w:val="007F7B5B"/>
    <w:rsid w:val="007F7F5B"/>
    <w:rsid w:val="008006E2"/>
    <w:rsid w:val="00800809"/>
    <w:rsid w:val="00800FEB"/>
    <w:rsid w:val="00801D52"/>
    <w:rsid w:val="00801DB6"/>
    <w:rsid w:val="00801E61"/>
    <w:rsid w:val="00801FAE"/>
    <w:rsid w:val="00802190"/>
    <w:rsid w:val="0080285F"/>
    <w:rsid w:val="00803778"/>
    <w:rsid w:val="00803B0A"/>
    <w:rsid w:val="00803D14"/>
    <w:rsid w:val="0080409D"/>
    <w:rsid w:val="00804D19"/>
    <w:rsid w:val="00804F7A"/>
    <w:rsid w:val="00805032"/>
    <w:rsid w:val="0080516B"/>
    <w:rsid w:val="0080525E"/>
    <w:rsid w:val="008054FC"/>
    <w:rsid w:val="00805733"/>
    <w:rsid w:val="008058A4"/>
    <w:rsid w:val="00805EE4"/>
    <w:rsid w:val="0080613B"/>
    <w:rsid w:val="00806431"/>
    <w:rsid w:val="00806684"/>
    <w:rsid w:val="008069A1"/>
    <w:rsid w:val="00806AAE"/>
    <w:rsid w:val="00806AF9"/>
    <w:rsid w:val="00806D5A"/>
    <w:rsid w:val="00806D93"/>
    <w:rsid w:val="0080744E"/>
    <w:rsid w:val="008076DC"/>
    <w:rsid w:val="00807D5C"/>
    <w:rsid w:val="0081009C"/>
    <w:rsid w:val="00810C47"/>
    <w:rsid w:val="00811872"/>
    <w:rsid w:val="008127BF"/>
    <w:rsid w:val="008136F5"/>
    <w:rsid w:val="0081370B"/>
    <w:rsid w:val="00813826"/>
    <w:rsid w:val="00813CAC"/>
    <w:rsid w:val="00813E4A"/>
    <w:rsid w:val="00813F48"/>
    <w:rsid w:val="0081427E"/>
    <w:rsid w:val="00814565"/>
    <w:rsid w:val="008147F6"/>
    <w:rsid w:val="008155D4"/>
    <w:rsid w:val="00815DDF"/>
    <w:rsid w:val="008161A5"/>
    <w:rsid w:val="0081629B"/>
    <w:rsid w:val="008162EC"/>
    <w:rsid w:val="008163E8"/>
    <w:rsid w:val="00816414"/>
    <w:rsid w:val="00816E53"/>
    <w:rsid w:val="00816F46"/>
    <w:rsid w:val="00816F73"/>
    <w:rsid w:val="00817402"/>
    <w:rsid w:val="008177F6"/>
    <w:rsid w:val="00817945"/>
    <w:rsid w:val="00817FCB"/>
    <w:rsid w:val="008205AA"/>
    <w:rsid w:val="00821640"/>
    <w:rsid w:val="008217A7"/>
    <w:rsid w:val="00821853"/>
    <w:rsid w:val="00821CBE"/>
    <w:rsid w:val="00821F11"/>
    <w:rsid w:val="00821FBE"/>
    <w:rsid w:val="00823095"/>
    <w:rsid w:val="0082344B"/>
    <w:rsid w:val="00824218"/>
    <w:rsid w:val="00824292"/>
    <w:rsid w:val="00824669"/>
    <w:rsid w:val="00824A6C"/>
    <w:rsid w:val="00824A7D"/>
    <w:rsid w:val="00825162"/>
    <w:rsid w:val="00826484"/>
    <w:rsid w:val="008264A1"/>
    <w:rsid w:val="008266ED"/>
    <w:rsid w:val="00826A31"/>
    <w:rsid w:val="00826C98"/>
    <w:rsid w:val="00826E2B"/>
    <w:rsid w:val="008273DB"/>
    <w:rsid w:val="00827829"/>
    <w:rsid w:val="0082786C"/>
    <w:rsid w:val="00827AC3"/>
    <w:rsid w:val="00827DA4"/>
    <w:rsid w:val="00827DBA"/>
    <w:rsid w:val="00830326"/>
    <w:rsid w:val="00830768"/>
    <w:rsid w:val="00830E58"/>
    <w:rsid w:val="008310AD"/>
    <w:rsid w:val="008314CC"/>
    <w:rsid w:val="00831C32"/>
    <w:rsid w:val="00832D1D"/>
    <w:rsid w:val="00832EEA"/>
    <w:rsid w:val="008334C1"/>
    <w:rsid w:val="00833BF5"/>
    <w:rsid w:val="00833F4F"/>
    <w:rsid w:val="00834050"/>
    <w:rsid w:val="00834111"/>
    <w:rsid w:val="008342BC"/>
    <w:rsid w:val="00834585"/>
    <w:rsid w:val="00834837"/>
    <w:rsid w:val="00834C21"/>
    <w:rsid w:val="00834C36"/>
    <w:rsid w:val="00834E58"/>
    <w:rsid w:val="0083543E"/>
    <w:rsid w:val="00835640"/>
    <w:rsid w:val="00835F9A"/>
    <w:rsid w:val="00836130"/>
    <w:rsid w:val="008361E3"/>
    <w:rsid w:val="00836382"/>
    <w:rsid w:val="008363EA"/>
    <w:rsid w:val="00836506"/>
    <w:rsid w:val="00836556"/>
    <w:rsid w:val="0083657C"/>
    <w:rsid w:val="008368E2"/>
    <w:rsid w:val="00836A03"/>
    <w:rsid w:val="00836C9C"/>
    <w:rsid w:val="00836F11"/>
    <w:rsid w:val="0083746A"/>
    <w:rsid w:val="00837478"/>
    <w:rsid w:val="008376A0"/>
    <w:rsid w:val="00837A1F"/>
    <w:rsid w:val="00837B83"/>
    <w:rsid w:val="00840679"/>
    <w:rsid w:val="00841ABC"/>
    <w:rsid w:val="00841EAA"/>
    <w:rsid w:val="00842278"/>
    <w:rsid w:val="00842489"/>
    <w:rsid w:val="00842A8E"/>
    <w:rsid w:val="00842BAF"/>
    <w:rsid w:val="008431DC"/>
    <w:rsid w:val="008431E7"/>
    <w:rsid w:val="00843389"/>
    <w:rsid w:val="008433D4"/>
    <w:rsid w:val="008436B2"/>
    <w:rsid w:val="00843844"/>
    <w:rsid w:val="00843BCB"/>
    <w:rsid w:val="0084446A"/>
    <w:rsid w:val="00844478"/>
    <w:rsid w:val="00844E5B"/>
    <w:rsid w:val="00844EF5"/>
    <w:rsid w:val="00845102"/>
    <w:rsid w:val="008451E8"/>
    <w:rsid w:val="00845774"/>
    <w:rsid w:val="00845A8F"/>
    <w:rsid w:val="00846603"/>
    <w:rsid w:val="00846813"/>
    <w:rsid w:val="008471CC"/>
    <w:rsid w:val="00847291"/>
    <w:rsid w:val="00847501"/>
    <w:rsid w:val="008478BE"/>
    <w:rsid w:val="00847989"/>
    <w:rsid w:val="008479E6"/>
    <w:rsid w:val="0085007B"/>
    <w:rsid w:val="00850869"/>
    <w:rsid w:val="0085103D"/>
    <w:rsid w:val="0085106B"/>
    <w:rsid w:val="008510C6"/>
    <w:rsid w:val="008521A5"/>
    <w:rsid w:val="008522BF"/>
    <w:rsid w:val="00852923"/>
    <w:rsid w:val="00852956"/>
    <w:rsid w:val="00852A75"/>
    <w:rsid w:val="00852EE5"/>
    <w:rsid w:val="0085338D"/>
    <w:rsid w:val="00853F7E"/>
    <w:rsid w:val="008540E0"/>
    <w:rsid w:val="00854303"/>
    <w:rsid w:val="00854988"/>
    <w:rsid w:val="00854E4F"/>
    <w:rsid w:val="00855131"/>
    <w:rsid w:val="00855B67"/>
    <w:rsid w:val="00855ED9"/>
    <w:rsid w:val="008562F7"/>
    <w:rsid w:val="0085639F"/>
    <w:rsid w:val="0085671D"/>
    <w:rsid w:val="00857572"/>
    <w:rsid w:val="008576C4"/>
    <w:rsid w:val="00857712"/>
    <w:rsid w:val="0085796B"/>
    <w:rsid w:val="00857F6F"/>
    <w:rsid w:val="00860437"/>
    <w:rsid w:val="0086059C"/>
    <w:rsid w:val="00860941"/>
    <w:rsid w:val="008616E4"/>
    <w:rsid w:val="00861B23"/>
    <w:rsid w:val="00861EBB"/>
    <w:rsid w:val="00861F64"/>
    <w:rsid w:val="008620B4"/>
    <w:rsid w:val="008621A2"/>
    <w:rsid w:val="008621B0"/>
    <w:rsid w:val="0086222A"/>
    <w:rsid w:val="008622EF"/>
    <w:rsid w:val="0086279A"/>
    <w:rsid w:val="00862914"/>
    <w:rsid w:val="00863014"/>
    <w:rsid w:val="00863C30"/>
    <w:rsid w:val="00863FB4"/>
    <w:rsid w:val="00864006"/>
    <w:rsid w:val="00864BA5"/>
    <w:rsid w:val="00865DD1"/>
    <w:rsid w:val="008660C0"/>
    <w:rsid w:val="00866A13"/>
    <w:rsid w:val="00866C53"/>
    <w:rsid w:val="00866FF0"/>
    <w:rsid w:val="008671EC"/>
    <w:rsid w:val="00867345"/>
    <w:rsid w:val="0086760D"/>
    <w:rsid w:val="00867A1B"/>
    <w:rsid w:val="00867B17"/>
    <w:rsid w:val="00867CCC"/>
    <w:rsid w:val="0087035A"/>
    <w:rsid w:val="00870D50"/>
    <w:rsid w:val="008714B9"/>
    <w:rsid w:val="00871C56"/>
    <w:rsid w:val="00871D7D"/>
    <w:rsid w:val="00871FD0"/>
    <w:rsid w:val="00872140"/>
    <w:rsid w:val="0087238F"/>
    <w:rsid w:val="00872624"/>
    <w:rsid w:val="00872A5F"/>
    <w:rsid w:val="00872BAA"/>
    <w:rsid w:val="00872D06"/>
    <w:rsid w:val="00872ED9"/>
    <w:rsid w:val="008734D5"/>
    <w:rsid w:val="008735A6"/>
    <w:rsid w:val="00874145"/>
    <w:rsid w:val="00874196"/>
    <w:rsid w:val="00874900"/>
    <w:rsid w:val="00874C83"/>
    <w:rsid w:val="00874DA3"/>
    <w:rsid w:val="008750D5"/>
    <w:rsid w:val="008750E3"/>
    <w:rsid w:val="00875A4A"/>
    <w:rsid w:val="00875F82"/>
    <w:rsid w:val="00876493"/>
    <w:rsid w:val="00876552"/>
    <w:rsid w:val="00876AAC"/>
    <w:rsid w:val="00877AFB"/>
    <w:rsid w:val="0088053E"/>
    <w:rsid w:val="00880E22"/>
    <w:rsid w:val="0088137A"/>
    <w:rsid w:val="008818B9"/>
    <w:rsid w:val="00881B4D"/>
    <w:rsid w:val="00881D50"/>
    <w:rsid w:val="00882247"/>
    <w:rsid w:val="008827AA"/>
    <w:rsid w:val="00882872"/>
    <w:rsid w:val="00882C34"/>
    <w:rsid w:val="00883437"/>
    <w:rsid w:val="0088345B"/>
    <w:rsid w:val="00883AB7"/>
    <w:rsid w:val="0088453A"/>
    <w:rsid w:val="008845EA"/>
    <w:rsid w:val="00885238"/>
    <w:rsid w:val="008857E7"/>
    <w:rsid w:val="00885BD5"/>
    <w:rsid w:val="00885BF6"/>
    <w:rsid w:val="00885F26"/>
    <w:rsid w:val="00885F27"/>
    <w:rsid w:val="00886112"/>
    <w:rsid w:val="008861AB"/>
    <w:rsid w:val="00886A54"/>
    <w:rsid w:val="00886D72"/>
    <w:rsid w:val="00887916"/>
    <w:rsid w:val="00887E89"/>
    <w:rsid w:val="00890345"/>
    <w:rsid w:val="00890CAE"/>
    <w:rsid w:val="00890EC4"/>
    <w:rsid w:val="00891C3C"/>
    <w:rsid w:val="00891F6E"/>
    <w:rsid w:val="00892B77"/>
    <w:rsid w:val="00892CA2"/>
    <w:rsid w:val="00892DB6"/>
    <w:rsid w:val="008930AC"/>
    <w:rsid w:val="00893618"/>
    <w:rsid w:val="008936A9"/>
    <w:rsid w:val="00893708"/>
    <w:rsid w:val="0089383F"/>
    <w:rsid w:val="008941EE"/>
    <w:rsid w:val="00894289"/>
    <w:rsid w:val="0089429B"/>
    <w:rsid w:val="008943AE"/>
    <w:rsid w:val="008945F9"/>
    <w:rsid w:val="0089468A"/>
    <w:rsid w:val="008947FB"/>
    <w:rsid w:val="00894B11"/>
    <w:rsid w:val="00894B31"/>
    <w:rsid w:val="00895319"/>
    <w:rsid w:val="00895744"/>
    <w:rsid w:val="0089600E"/>
    <w:rsid w:val="0089622D"/>
    <w:rsid w:val="008963D9"/>
    <w:rsid w:val="00896552"/>
    <w:rsid w:val="00896660"/>
    <w:rsid w:val="008968B3"/>
    <w:rsid w:val="00896C4C"/>
    <w:rsid w:val="00896DF5"/>
    <w:rsid w:val="00896F06"/>
    <w:rsid w:val="00897360"/>
    <w:rsid w:val="008975A2"/>
    <w:rsid w:val="0089761A"/>
    <w:rsid w:val="00897714"/>
    <w:rsid w:val="00897B86"/>
    <w:rsid w:val="00897DA6"/>
    <w:rsid w:val="008A02AB"/>
    <w:rsid w:val="008A0A2C"/>
    <w:rsid w:val="008A0B0C"/>
    <w:rsid w:val="008A12EA"/>
    <w:rsid w:val="008A183E"/>
    <w:rsid w:val="008A2842"/>
    <w:rsid w:val="008A30C3"/>
    <w:rsid w:val="008A371B"/>
    <w:rsid w:val="008A37CA"/>
    <w:rsid w:val="008A4318"/>
    <w:rsid w:val="008A46E9"/>
    <w:rsid w:val="008A4B7B"/>
    <w:rsid w:val="008A4C62"/>
    <w:rsid w:val="008A6216"/>
    <w:rsid w:val="008A6298"/>
    <w:rsid w:val="008A661D"/>
    <w:rsid w:val="008A69EC"/>
    <w:rsid w:val="008A7488"/>
    <w:rsid w:val="008A759E"/>
    <w:rsid w:val="008A7EED"/>
    <w:rsid w:val="008B0130"/>
    <w:rsid w:val="008B0793"/>
    <w:rsid w:val="008B1231"/>
    <w:rsid w:val="008B148E"/>
    <w:rsid w:val="008B24B2"/>
    <w:rsid w:val="008B2CAE"/>
    <w:rsid w:val="008B31C8"/>
    <w:rsid w:val="008B389A"/>
    <w:rsid w:val="008B389E"/>
    <w:rsid w:val="008B42E9"/>
    <w:rsid w:val="008B4685"/>
    <w:rsid w:val="008B46DF"/>
    <w:rsid w:val="008B479C"/>
    <w:rsid w:val="008B4A41"/>
    <w:rsid w:val="008B4DF5"/>
    <w:rsid w:val="008B513C"/>
    <w:rsid w:val="008B5354"/>
    <w:rsid w:val="008B53D2"/>
    <w:rsid w:val="008B59E7"/>
    <w:rsid w:val="008B5A5B"/>
    <w:rsid w:val="008B5C19"/>
    <w:rsid w:val="008B5C7C"/>
    <w:rsid w:val="008B5DA8"/>
    <w:rsid w:val="008B5F64"/>
    <w:rsid w:val="008B69C6"/>
    <w:rsid w:val="008B6AF6"/>
    <w:rsid w:val="008B6E0D"/>
    <w:rsid w:val="008B7060"/>
    <w:rsid w:val="008B73EE"/>
    <w:rsid w:val="008B7888"/>
    <w:rsid w:val="008C1DB0"/>
    <w:rsid w:val="008C2052"/>
    <w:rsid w:val="008C2293"/>
    <w:rsid w:val="008C234C"/>
    <w:rsid w:val="008C26E3"/>
    <w:rsid w:val="008C2CAE"/>
    <w:rsid w:val="008C2DAB"/>
    <w:rsid w:val="008C2FE9"/>
    <w:rsid w:val="008C3156"/>
    <w:rsid w:val="008C3A71"/>
    <w:rsid w:val="008C41C6"/>
    <w:rsid w:val="008C4268"/>
    <w:rsid w:val="008C4461"/>
    <w:rsid w:val="008C452A"/>
    <w:rsid w:val="008C4545"/>
    <w:rsid w:val="008C4A76"/>
    <w:rsid w:val="008C543D"/>
    <w:rsid w:val="008C6188"/>
    <w:rsid w:val="008C64DE"/>
    <w:rsid w:val="008C67ED"/>
    <w:rsid w:val="008C755A"/>
    <w:rsid w:val="008C7B4A"/>
    <w:rsid w:val="008C7D07"/>
    <w:rsid w:val="008C7D1B"/>
    <w:rsid w:val="008D041F"/>
    <w:rsid w:val="008D05D3"/>
    <w:rsid w:val="008D0B06"/>
    <w:rsid w:val="008D0C96"/>
    <w:rsid w:val="008D11AA"/>
    <w:rsid w:val="008D131F"/>
    <w:rsid w:val="008D1372"/>
    <w:rsid w:val="008D13D9"/>
    <w:rsid w:val="008D1B35"/>
    <w:rsid w:val="008D203B"/>
    <w:rsid w:val="008D2D1C"/>
    <w:rsid w:val="008D3192"/>
    <w:rsid w:val="008D327F"/>
    <w:rsid w:val="008D32F9"/>
    <w:rsid w:val="008D3AA5"/>
    <w:rsid w:val="008D3EE7"/>
    <w:rsid w:val="008D3EEA"/>
    <w:rsid w:val="008D3EED"/>
    <w:rsid w:val="008D3F04"/>
    <w:rsid w:val="008D546C"/>
    <w:rsid w:val="008D5C31"/>
    <w:rsid w:val="008D5D78"/>
    <w:rsid w:val="008D5F75"/>
    <w:rsid w:val="008D6614"/>
    <w:rsid w:val="008D6C53"/>
    <w:rsid w:val="008D6CF5"/>
    <w:rsid w:val="008D7994"/>
    <w:rsid w:val="008E0640"/>
    <w:rsid w:val="008E07AA"/>
    <w:rsid w:val="008E125C"/>
    <w:rsid w:val="008E156E"/>
    <w:rsid w:val="008E1BEC"/>
    <w:rsid w:val="008E2F34"/>
    <w:rsid w:val="008E3C3A"/>
    <w:rsid w:val="008E3CFA"/>
    <w:rsid w:val="008E3EA0"/>
    <w:rsid w:val="008E45E7"/>
    <w:rsid w:val="008E4D52"/>
    <w:rsid w:val="008E5412"/>
    <w:rsid w:val="008E5614"/>
    <w:rsid w:val="008E68DC"/>
    <w:rsid w:val="008E6B5E"/>
    <w:rsid w:val="008E6BD5"/>
    <w:rsid w:val="008E6C10"/>
    <w:rsid w:val="008E6DAD"/>
    <w:rsid w:val="008E6EB3"/>
    <w:rsid w:val="008E74C3"/>
    <w:rsid w:val="008E772B"/>
    <w:rsid w:val="008E790C"/>
    <w:rsid w:val="008F0EE2"/>
    <w:rsid w:val="008F1648"/>
    <w:rsid w:val="008F1786"/>
    <w:rsid w:val="008F1793"/>
    <w:rsid w:val="008F1AA3"/>
    <w:rsid w:val="008F1B6D"/>
    <w:rsid w:val="008F1D46"/>
    <w:rsid w:val="008F1EA6"/>
    <w:rsid w:val="008F298D"/>
    <w:rsid w:val="008F3086"/>
    <w:rsid w:val="008F339F"/>
    <w:rsid w:val="008F35C6"/>
    <w:rsid w:val="008F3B17"/>
    <w:rsid w:val="008F42DA"/>
    <w:rsid w:val="008F46A5"/>
    <w:rsid w:val="008F482A"/>
    <w:rsid w:val="008F5AAF"/>
    <w:rsid w:val="008F5BDA"/>
    <w:rsid w:val="008F5C28"/>
    <w:rsid w:val="008F5F60"/>
    <w:rsid w:val="008F6B14"/>
    <w:rsid w:val="008F6DD2"/>
    <w:rsid w:val="008F6ED9"/>
    <w:rsid w:val="00900161"/>
    <w:rsid w:val="00900C13"/>
    <w:rsid w:val="00901155"/>
    <w:rsid w:val="009017EE"/>
    <w:rsid w:val="009019C6"/>
    <w:rsid w:val="009019DC"/>
    <w:rsid w:val="00901A76"/>
    <w:rsid w:val="00901B24"/>
    <w:rsid w:val="009021AF"/>
    <w:rsid w:val="009028BB"/>
    <w:rsid w:val="00902A25"/>
    <w:rsid w:val="00902AD8"/>
    <w:rsid w:val="009037A9"/>
    <w:rsid w:val="00903F01"/>
    <w:rsid w:val="00903FCB"/>
    <w:rsid w:val="0090452E"/>
    <w:rsid w:val="00904903"/>
    <w:rsid w:val="00904F82"/>
    <w:rsid w:val="009052DC"/>
    <w:rsid w:val="009055EC"/>
    <w:rsid w:val="00905796"/>
    <w:rsid w:val="00907088"/>
    <w:rsid w:val="00907159"/>
    <w:rsid w:val="00907403"/>
    <w:rsid w:val="00907811"/>
    <w:rsid w:val="009079A2"/>
    <w:rsid w:val="009079CE"/>
    <w:rsid w:val="00907C37"/>
    <w:rsid w:val="00907E88"/>
    <w:rsid w:val="00907F3C"/>
    <w:rsid w:val="00907FBA"/>
    <w:rsid w:val="00910529"/>
    <w:rsid w:val="009107EA"/>
    <w:rsid w:val="00911981"/>
    <w:rsid w:val="00911F47"/>
    <w:rsid w:val="00911FE1"/>
    <w:rsid w:val="009120B2"/>
    <w:rsid w:val="00912814"/>
    <w:rsid w:val="00912B50"/>
    <w:rsid w:val="00912C75"/>
    <w:rsid w:val="00912D25"/>
    <w:rsid w:val="00912F25"/>
    <w:rsid w:val="009131FD"/>
    <w:rsid w:val="009139F3"/>
    <w:rsid w:val="00913C0D"/>
    <w:rsid w:val="009140EF"/>
    <w:rsid w:val="009141F1"/>
    <w:rsid w:val="009145BF"/>
    <w:rsid w:val="009145E9"/>
    <w:rsid w:val="00914758"/>
    <w:rsid w:val="009147CA"/>
    <w:rsid w:val="0091485A"/>
    <w:rsid w:val="009153A1"/>
    <w:rsid w:val="009157A5"/>
    <w:rsid w:val="00915CF2"/>
    <w:rsid w:val="0091607E"/>
    <w:rsid w:val="0091617A"/>
    <w:rsid w:val="0091626E"/>
    <w:rsid w:val="00916681"/>
    <w:rsid w:val="00916F35"/>
    <w:rsid w:val="009172B5"/>
    <w:rsid w:val="00917417"/>
    <w:rsid w:val="00917527"/>
    <w:rsid w:val="00917DB3"/>
    <w:rsid w:val="00917E79"/>
    <w:rsid w:val="00917F42"/>
    <w:rsid w:val="00920702"/>
    <w:rsid w:val="00920A18"/>
    <w:rsid w:val="00920B6A"/>
    <w:rsid w:val="009210DF"/>
    <w:rsid w:val="009214D7"/>
    <w:rsid w:val="009219FE"/>
    <w:rsid w:val="00921D7F"/>
    <w:rsid w:val="0092214E"/>
    <w:rsid w:val="009224C2"/>
    <w:rsid w:val="00922670"/>
    <w:rsid w:val="00922C02"/>
    <w:rsid w:val="009230FD"/>
    <w:rsid w:val="009236D9"/>
    <w:rsid w:val="00923962"/>
    <w:rsid w:val="009239BC"/>
    <w:rsid w:val="00923AC4"/>
    <w:rsid w:val="00923F1E"/>
    <w:rsid w:val="0092479D"/>
    <w:rsid w:val="009249BF"/>
    <w:rsid w:val="009249C7"/>
    <w:rsid w:val="00924E99"/>
    <w:rsid w:val="009251AD"/>
    <w:rsid w:val="009252BC"/>
    <w:rsid w:val="00925F15"/>
    <w:rsid w:val="00925F99"/>
    <w:rsid w:val="00926018"/>
    <w:rsid w:val="00926DEB"/>
    <w:rsid w:val="0092715F"/>
    <w:rsid w:val="00927168"/>
    <w:rsid w:val="009274FA"/>
    <w:rsid w:val="0092786F"/>
    <w:rsid w:val="009302CA"/>
    <w:rsid w:val="00930C17"/>
    <w:rsid w:val="00930E67"/>
    <w:rsid w:val="00930F0D"/>
    <w:rsid w:val="00931212"/>
    <w:rsid w:val="00931CBC"/>
    <w:rsid w:val="00932358"/>
    <w:rsid w:val="009325A1"/>
    <w:rsid w:val="00932B37"/>
    <w:rsid w:val="009332CC"/>
    <w:rsid w:val="0093367A"/>
    <w:rsid w:val="00933C74"/>
    <w:rsid w:val="009343C2"/>
    <w:rsid w:val="00934623"/>
    <w:rsid w:val="00934CCF"/>
    <w:rsid w:val="00934FC4"/>
    <w:rsid w:val="00935111"/>
    <w:rsid w:val="009351C5"/>
    <w:rsid w:val="00935FAE"/>
    <w:rsid w:val="00936731"/>
    <w:rsid w:val="009368EC"/>
    <w:rsid w:val="00936A18"/>
    <w:rsid w:val="00936E76"/>
    <w:rsid w:val="009370FE"/>
    <w:rsid w:val="0093754C"/>
    <w:rsid w:val="00937566"/>
    <w:rsid w:val="009377F6"/>
    <w:rsid w:val="00940802"/>
    <w:rsid w:val="009408FD"/>
    <w:rsid w:val="00940970"/>
    <w:rsid w:val="00940CE5"/>
    <w:rsid w:val="00941540"/>
    <w:rsid w:val="00941C29"/>
    <w:rsid w:val="00941C37"/>
    <w:rsid w:val="00941E3A"/>
    <w:rsid w:val="009425F6"/>
    <w:rsid w:val="0094287D"/>
    <w:rsid w:val="00942D17"/>
    <w:rsid w:val="00942D79"/>
    <w:rsid w:val="00942E15"/>
    <w:rsid w:val="00943211"/>
    <w:rsid w:val="00943473"/>
    <w:rsid w:val="0094365C"/>
    <w:rsid w:val="0094423F"/>
    <w:rsid w:val="00944614"/>
    <w:rsid w:val="00944827"/>
    <w:rsid w:val="00944B33"/>
    <w:rsid w:val="00944DA6"/>
    <w:rsid w:val="00945C40"/>
    <w:rsid w:val="00945F17"/>
    <w:rsid w:val="009461A4"/>
    <w:rsid w:val="00946612"/>
    <w:rsid w:val="00947309"/>
    <w:rsid w:val="00947318"/>
    <w:rsid w:val="0094778D"/>
    <w:rsid w:val="009477F4"/>
    <w:rsid w:val="00947A4D"/>
    <w:rsid w:val="00947B12"/>
    <w:rsid w:val="009500C8"/>
    <w:rsid w:val="009501AE"/>
    <w:rsid w:val="009501CF"/>
    <w:rsid w:val="00950829"/>
    <w:rsid w:val="00950E10"/>
    <w:rsid w:val="00951418"/>
    <w:rsid w:val="00951458"/>
    <w:rsid w:val="0095147E"/>
    <w:rsid w:val="00951583"/>
    <w:rsid w:val="0095185E"/>
    <w:rsid w:val="00951F83"/>
    <w:rsid w:val="009521ED"/>
    <w:rsid w:val="0095231E"/>
    <w:rsid w:val="0095246E"/>
    <w:rsid w:val="00952587"/>
    <w:rsid w:val="00952A7D"/>
    <w:rsid w:val="00953BF7"/>
    <w:rsid w:val="0095413B"/>
    <w:rsid w:val="009549AA"/>
    <w:rsid w:val="009549F6"/>
    <w:rsid w:val="00954F69"/>
    <w:rsid w:val="00954FF5"/>
    <w:rsid w:val="009554D3"/>
    <w:rsid w:val="00955CD7"/>
    <w:rsid w:val="00955D97"/>
    <w:rsid w:val="0095649D"/>
    <w:rsid w:val="0095679C"/>
    <w:rsid w:val="009569A8"/>
    <w:rsid w:val="00957683"/>
    <w:rsid w:val="00957A60"/>
    <w:rsid w:val="00957BC5"/>
    <w:rsid w:val="00957D13"/>
    <w:rsid w:val="009607C7"/>
    <w:rsid w:val="0096082E"/>
    <w:rsid w:val="00960F45"/>
    <w:rsid w:val="009610D6"/>
    <w:rsid w:val="0096128B"/>
    <w:rsid w:val="009612AA"/>
    <w:rsid w:val="009637B7"/>
    <w:rsid w:val="00963A4E"/>
    <w:rsid w:val="00963AA8"/>
    <w:rsid w:val="00963BAC"/>
    <w:rsid w:val="00963D50"/>
    <w:rsid w:val="00963E66"/>
    <w:rsid w:val="00964577"/>
    <w:rsid w:val="009649A3"/>
    <w:rsid w:val="009649B4"/>
    <w:rsid w:val="009649E9"/>
    <w:rsid w:val="00964C3F"/>
    <w:rsid w:val="009654F1"/>
    <w:rsid w:val="0096588A"/>
    <w:rsid w:val="00965B2E"/>
    <w:rsid w:val="00965D36"/>
    <w:rsid w:val="009660BA"/>
    <w:rsid w:val="00966853"/>
    <w:rsid w:val="00966C57"/>
    <w:rsid w:val="00967BC4"/>
    <w:rsid w:val="00970224"/>
    <w:rsid w:val="0097050E"/>
    <w:rsid w:val="00970955"/>
    <w:rsid w:val="00970DA9"/>
    <w:rsid w:val="00970F73"/>
    <w:rsid w:val="00971B82"/>
    <w:rsid w:val="00971C25"/>
    <w:rsid w:val="00971D5D"/>
    <w:rsid w:val="00972EBC"/>
    <w:rsid w:val="0097340E"/>
    <w:rsid w:val="009736D0"/>
    <w:rsid w:val="00973918"/>
    <w:rsid w:val="00973A11"/>
    <w:rsid w:val="00974029"/>
    <w:rsid w:val="00974279"/>
    <w:rsid w:val="009744B3"/>
    <w:rsid w:val="00975F13"/>
    <w:rsid w:val="0097600F"/>
    <w:rsid w:val="009760C9"/>
    <w:rsid w:val="00976E31"/>
    <w:rsid w:val="00976FFD"/>
    <w:rsid w:val="00977495"/>
    <w:rsid w:val="0097752A"/>
    <w:rsid w:val="00980143"/>
    <w:rsid w:val="00981499"/>
    <w:rsid w:val="009814DC"/>
    <w:rsid w:val="0098161F"/>
    <w:rsid w:val="00981852"/>
    <w:rsid w:val="00982D70"/>
    <w:rsid w:val="00983034"/>
    <w:rsid w:val="0098334F"/>
    <w:rsid w:val="0098347A"/>
    <w:rsid w:val="009839A5"/>
    <w:rsid w:val="00983B86"/>
    <w:rsid w:val="00983BD2"/>
    <w:rsid w:val="00986077"/>
    <w:rsid w:val="00986177"/>
    <w:rsid w:val="0098666F"/>
    <w:rsid w:val="009866C0"/>
    <w:rsid w:val="009867A7"/>
    <w:rsid w:val="0098769C"/>
    <w:rsid w:val="00987F78"/>
    <w:rsid w:val="00990A90"/>
    <w:rsid w:val="0099105B"/>
    <w:rsid w:val="009911A9"/>
    <w:rsid w:val="009913A9"/>
    <w:rsid w:val="009925AC"/>
    <w:rsid w:val="0099299A"/>
    <w:rsid w:val="00992BD3"/>
    <w:rsid w:val="00992C86"/>
    <w:rsid w:val="00992F69"/>
    <w:rsid w:val="00993322"/>
    <w:rsid w:val="009937D8"/>
    <w:rsid w:val="00993FD3"/>
    <w:rsid w:val="0099444E"/>
    <w:rsid w:val="0099482E"/>
    <w:rsid w:val="00994C65"/>
    <w:rsid w:val="00995041"/>
    <w:rsid w:val="0099527C"/>
    <w:rsid w:val="009958B4"/>
    <w:rsid w:val="00995D2E"/>
    <w:rsid w:val="00995E01"/>
    <w:rsid w:val="00995F56"/>
    <w:rsid w:val="0099626A"/>
    <w:rsid w:val="0099699C"/>
    <w:rsid w:val="00996F68"/>
    <w:rsid w:val="009971BD"/>
    <w:rsid w:val="009A000C"/>
    <w:rsid w:val="009A03B9"/>
    <w:rsid w:val="009A045B"/>
    <w:rsid w:val="009A1701"/>
    <w:rsid w:val="009A180C"/>
    <w:rsid w:val="009A185E"/>
    <w:rsid w:val="009A20BA"/>
    <w:rsid w:val="009A2940"/>
    <w:rsid w:val="009A2B1A"/>
    <w:rsid w:val="009A2F07"/>
    <w:rsid w:val="009A30D0"/>
    <w:rsid w:val="009A3263"/>
    <w:rsid w:val="009A3548"/>
    <w:rsid w:val="009A4227"/>
    <w:rsid w:val="009A433F"/>
    <w:rsid w:val="009A442A"/>
    <w:rsid w:val="009A450B"/>
    <w:rsid w:val="009A46AE"/>
    <w:rsid w:val="009A49F3"/>
    <w:rsid w:val="009A4F3E"/>
    <w:rsid w:val="009A4F79"/>
    <w:rsid w:val="009A58E1"/>
    <w:rsid w:val="009A5B28"/>
    <w:rsid w:val="009A5CCB"/>
    <w:rsid w:val="009A66DC"/>
    <w:rsid w:val="009A75C5"/>
    <w:rsid w:val="009A76EB"/>
    <w:rsid w:val="009A773E"/>
    <w:rsid w:val="009A797A"/>
    <w:rsid w:val="009B004E"/>
    <w:rsid w:val="009B00DC"/>
    <w:rsid w:val="009B0252"/>
    <w:rsid w:val="009B034A"/>
    <w:rsid w:val="009B0646"/>
    <w:rsid w:val="009B0900"/>
    <w:rsid w:val="009B123D"/>
    <w:rsid w:val="009B1E72"/>
    <w:rsid w:val="009B2B63"/>
    <w:rsid w:val="009B33BD"/>
    <w:rsid w:val="009B33CA"/>
    <w:rsid w:val="009B361C"/>
    <w:rsid w:val="009B3676"/>
    <w:rsid w:val="009B3CA4"/>
    <w:rsid w:val="009B4301"/>
    <w:rsid w:val="009B5AD5"/>
    <w:rsid w:val="009B5D7F"/>
    <w:rsid w:val="009B5DFF"/>
    <w:rsid w:val="009B625A"/>
    <w:rsid w:val="009B6A45"/>
    <w:rsid w:val="009B6E35"/>
    <w:rsid w:val="009B6EDC"/>
    <w:rsid w:val="009B7682"/>
    <w:rsid w:val="009B7A16"/>
    <w:rsid w:val="009C0512"/>
    <w:rsid w:val="009C074E"/>
    <w:rsid w:val="009C0D80"/>
    <w:rsid w:val="009C118C"/>
    <w:rsid w:val="009C12A0"/>
    <w:rsid w:val="009C1D54"/>
    <w:rsid w:val="009C28DF"/>
    <w:rsid w:val="009C4112"/>
    <w:rsid w:val="009C45DA"/>
    <w:rsid w:val="009C4836"/>
    <w:rsid w:val="009C49F5"/>
    <w:rsid w:val="009C4B9A"/>
    <w:rsid w:val="009C4D71"/>
    <w:rsid w:val="009C508B"/>
    <w:rsid w:val="009C58D6"/>
    <w:rsid w:val="009C5CA9"/>
    <w:rsid w:val="009C626E"/>
    <w:rsid w:val="009C64AB"/>
    <w:rsid w:val="009C6BBA"/>
    <w:rsid w:val="009C6C8B"/>
    <w:rsid w:val="009C6CD8"/>
    <w:rsid w:val="009C7095"/>
    <w:rsid w:val="009C73C3"/>
    <w:rsid w:val="009C74D3"/>
    <w:rsid w:val="009C760B"/>
    <w:rsid w:val="009C7678"/>
    <w:rsid w:val="009C777D"/>
    <w:rsid w:val="009C77B3"/>
    <w:rsid w:val="009C78FB"/>
    <w:rsid w:val="009D069C"/>
    <w:rsid w:val="009D0A5D"/>
    <w:rsid w:val="009D0AD0"/>
    <w:rsid w:val="009D15B6"/>
    <w:rsid w:val="009D19B9"/>
    <w:rsid w:val="009D1D98"/>
    <w:rsid w:val="009D1E56"/>
    <w:rsid w:val="009D1ECD"/>
    <w:rsid w:val="009D25C2"/>
    <w:rsid w:val="009D28F2"/>
    <w:rsid w:val="009D328A"/>
    <w:rsid w:val="009D3423"/>
    <w:rsid w:val="009D3996"/>
    <w:rsid w:val="009D39C7"/>
    <w:rsid w:val="009D43C1"/>
    <w:rsid w:val="009D4C9C"/>
    <w:rsid w:val="009D5309"/>
    <w:rsid w:val="009D54F3"/>
    <w:rsid w:val="009D5DAB"/>
    <w:rsid w:val="009D6025"/>
    <w:rsid w:val="009D62BD"/>
    <w:rsid w:val="009D631B"/>
    <w:rsid w:val="009D7420"/>
    <w:rsid w:val="009D794D"/>
    <w:rsid w:val="009D7970"/>
    <w:rsid w:val="009D7B46"/>
    <w:rsid w:val="009E02DE"/>
    <w:rsid w:val="009E0850"/>
    <w:rsid w:val="009E0CFB"/>
    <w:rsid w:val="009E2BED"/>
    <w:rsid w:val="009E2C69"/>
    <w:rsid w:val="009E3613"/>
    <w:rsid w:val="009E36CE"/>
    <w:rsid w:val="009E375F"/>
    <w:rsid w:val="009E3EE7"/>
    <w:rsid w:val="009E40E0"/>
    <w:rsid w:val="009E5715"/>
    <w:rsid w:val="009E6DB4"/>
    <w:rsid w:val="009E7206"/>
    <w:rsid w:val="009E727F"/>
    <w:rsid w:val="009E77F4"/>
    <w:rsid w:val="009F0E24"/>
    <w:rsid w:val="009F108E"/>
    <w:rsid w:val="009F1D49"/>
    <w:rsid w:val="009F1DAC"/>
    <w:rsid w:val="009F29B9"/>
    <w:rsid w:val="009F2DE9"/>
    <w:rsid w:val="009F3925"/>
    <w:rsid w:val="009F42AE"/>
    <w:rsid w:val="009F436E"/>
    <w:rsid w:val="009F48AC"/>
    <w:rsid w:val="009F4AEA"/>
    <w:rsid w:val="009F4D8A"/>
    <w:rsid w:val="009F4FCB"/>
    <w:rsid w:val="009F5793"/>
    <w:rsid w:val="009F5BD2"/>
    <w:rsid w:val="009F5D58"/>
    <w:rsid w:val="009F6AD3"/>
    <w:rsid w:val="009F6EEE"/>
    <w:rsid w:val="009F7879"/>
    <w:rsid w:val="009F78BC"/>
    <w:rsid w:val="00A00705"/>
    <w:rsid w:val="00A00A4E"/>
    <w:rsid w:val="00A0147B"/>
    <w:rsid w:val="00A0165F"/>
    <w:rsid w:val="00A02085"/>
    <w:rsid w:val="00A02851"/>
    <w:rsid w:val="00A02A8E"/>
    <w:rsid w:val="00A030BA"/>
    <w:rsid w:val="00A03601"/>
    <w:rsid w:val="00A03737"/>
    <w:rsid w:val="00A03BC1"/>
    <w:rsid w:val="00A044DC"/>
    <w:rsid w:val="00A045A8"/>
    <w:rsid w:val="00A045B6"/>
    <w:rsid w:val="00A048BB"/>
    <w:rsid w:val="00A04CCA"/>
    <w:rsid w:val="00A04DBD"/>
    <w:rsid w:val="00A04FED"/>
    <w:rsid w:val="00A053C2"/>
    <w:rsid w:val="00A068D4"/>
    <w:rsid w:val="00A06B06"/>
    <w:rsid w:val="00A0714C"/>
    <w:rsid w:val="00A0747F"/>
    <w:rsid w:val="00A076E2"/>
    <w:rsid w:val="00A07E59"/>
    <w:rsid w:val="00A07E69"/>
    <w:rsid w:val="00A07F8C"/>
    <w:rsid w:val="00A107F5"/>
    <w:rsid w:val="00A10C52"/>
    <w:rsid w:val="00A10C9E"/>
    <w:rsid w:val="00A10FB9"/>
    <w:rsid w:val="00A1112B"/>
    <w:rsid w:val="00A11140"/>
    <w:rsid w:val="00A11325"/>
    <w:rsid w:val="00A1166F"/>
    <w:rsid w:val="00A11802"/>
    <w:rsid w:val="00A11963"/>
    <w:rsid w:val="00A11AD8"/>
    <w:rsid w:val="00A12443"/>
    <w:rsid w:val="00A12782"/>
    <w:rsid w:val="00A12D45"/>
    <w:rsid w:val="00A12FD6"/>
    <w:rsid w:val="00A13485"/>
    <w:rsid w:val="00A134BA"/>
    <w:rsid w:val="00A1352C"/>
    <w:rsid w:val="00A1382C"/>
    <w:rsid w:val="00A13A35"/>
    <w:rsid w:val="00A14057"/>
    <w:rsid w:val="00A14067"/>
    <w:rsid w:val="00A140DD"/>
    <w:rsid w:val="00A1421F"/>
    <w:rsid w:val="00A145DC"/>
    <w:rsid w:val="00A146EB"/>
    <w:rsid w:val="00A1516F"/>
    <w:rsid w:val="00A15C51"/>
    <w:rsid w:val="00A16536"/>
    <w:rsid w:val="00A169E9"/>
    <w:rsid w:val="00A16A86"/>
    <w:rsid w:val="00A171D8"/>
    <w:rsid w:val="00A178E1"/>
    <w:rsid w:val="00A17DEE"/>
    <w:rsid w:val="00A20A69"/>
    <w:rsid w:val="00A20DD4"/>
    <w:rsid w:val="00A21485"/>
    <w:rsid w:val="00A21823"/>
    <w:rsid w:val="00A2187D"/>
    <w:rsid w:val="00A22823"/>
    <w:rsid w:val="00A22D5A"/>
    <w:rsid w:val="00A22DCE"/>
    <w:rsid w:val="00A23680"/>
    <w:rsid w:val="00A23AAD"/>
    <w:rsid w:val="00A23DB7"/>
    <w:rsid w:val="00A24120"/>
    <w:rsid w:val="00A24CEA"/>
    <w:rsid w:val="00A24D97"/>
    <w:rsid w:val="00A2529C"/>
    <w:rsid w:val="00A25935"/>
    <w:rsid w:val="00A25F80"/>
    <w:rsid w:val="00A266BA"/>
    <w:rsid w:val="00A26B46"/>
    <w:rsid w:val="00A26BA6"/>
    <w:rsid w:val="00A26C22"/>
    <w:rsid w:val="00A276A0"/>
    <w:rsid w:val="00A27AEA"/>
    <w:rsid w:val="00A27FCC"/>
    <w:rsid w:val="00A30A1A"/>
    <w:rsid w:val="00A30AEA"/>
    <w:rsid w:val="00A30FA6"/>
    <w:rsid w:val="00A31083"/>
    <w:rsid w:val="00A312FA"/>
    <w:rsid w:val="00A3253C"/>
    <w:rsid w:val="00A33724"/>
    <w:rsid w:val="00A337DF"/>
    <w:rsid w:val="00A3387C"/>
    <w:rsid w:val="00A33917"/>
    <w:rsid w:val="00A33AC1"/>
    <w:rsid w:val="00A34143"/>
    <w:rsid w:val="00A342B2"/>
    <w:rsid w:val="00A3494F"/>
    <w:rsid w:val="00A34B49"/>
    <w:rsid w:val="00A34B52"/>
    <w:rsid w:val="00A34DA0"/>
    <w:rsid w:val="00A35006"/>
    <w:rsid w:val="00A351B9"/>
    <w:rsid w:val="00A3579D"/>
    <w:rsid w:val="00A35976"/>
    <w:rsid w:val="00A35CFF"/>
    <w:rsid w:val="00A36525"/>
    <w:rsid w:val="00A3723A"/>
    <w:rsid w:val="00A378F8"/>
    <w:rsid w:val="00A37D04"/>
    <w:rsid w:val="00A4061F"/>
    <w:rsid w:val="00A409CD"/>
    <w:rsid w:val="00A40AA5"/>
    <w:rsid w:val="00A40DB4"/>
    <w:rsid w:val="00A41A43"/>
    <w:rsid w:val="00A42E39"/>
    <w:rsid w:val="00A430B5"/>
    <w:rsid w:val="00A432FA"/>
    <w:rsid w:val="00A43B71"/>
    <w:rsid w:val="00A44C12"/>
    <w:rsid w:val="00A44D34"/>
    <w:rsid w:val="00A44D62"/>
    <w:rsid w:val="00A44FD0"/>
    <w:rsid w:val="00A450A4"/>
    <w:rsid w:val="00A45242"/>
    <w:rsid w:val="00A458BD"/>
    <w:rsid w:val="00A463F4"/>
    <w:rsid w:val="00A46CED"/>
    <w:rsid w:val="00A470C5"/>
    <w:rsid w:val="00A5023A"/>
    <w:rsid w:val="00A5077A"/>
    <w:rsid w:val="00A507E8"/>
    <w:rsid w:val="00A50A6F"/>
    <w:rsid w:val="00A50B8C"/>
    <w:rsid w:val="00A50C3F"/>
    <w:rsid w:val="00A50E8C"/>
    <w:rsid w:val="00A51184"/>
    <w:rsid w:val="00A51620"/>
    <w:rsid w:val="00A51775"/>
    <w:rsid w:val="00A517C9"/>
    <w:rsid w:val="00A5195C"/>
    <w:rsid w:val="00A51A28"/>
    <w:rsid w:val="00A51B0B"/>
    <w:rsid w:val="00A51E91"/>
    <w:rsid w:val="00A52001"/>
    <w:rsid w:val="00A5209B"/>
    <w:rsid w:val="00A5227B"/>
    <w:rsid w:val="00A5227D"/>
    <w:rsid w:val="00A523A8"/>
    <w:rsid w:val="00A5243D"/>
    <w:rsid w:val="00A52483"/>
    <w:rsid w:val="00A52F21"/>
    <w:rsid w:val="00A53569"/>
    <w:rsid w:val="00A538DF"/>
    <w:rsid w:val="00A5390F"/>
    <w:rsid w:val="00A544BE"/>
    <w:rsid w:val="00A5479C"/>
    <w:rsid w:val="00A554F1"/>
    <w:rsid w:val="00A560FD"/>
    <w:rsid w:val="00A56160"/>
    <w:rsid w:val="00A5661D"/>
    <w:rsid w:val="00A566BA"/>
    <w:rsid w:val="00A56CA6"/>
    <w:rsid w:val="00A56EFB"/>
    <w:rsid w:val="00A571C6"/>
    <w:rsid w:val="00A572A5"/>
    <w:rsid w:val="00A5736C"/>
    <w:rsid w:val="00A57F63"/>
    <w:rsid w:val="00A6006F"/>
    <w:rsid w:val="00A605BF"/>
    <w:rsid w:val="00A607D3"/>
    <w:rsid w:val="00A60A2B"/>
    <w:rsid w:val="00A60BDD"/>
    <w:rsid w:val="00A61005"/>
    <w:rsid w:val="00A6182A"/>
    <w:rsid w:val="00A61A3B"/>
    <w:rsid w:val="00A61CFC"/>
    <w:rsid w:val="00A62567"/>
    <w:rsid w:val="00A62BCE"/>
    <w:rsid w:val="00A62F4E"/>
    <w:rsid w:val="00A636AD"/>
    <w:rsid w:val="00A63FD9"/>
    <w:rsid w:val="00A642A6"/>
    <w:rsid w:val="00A64A34"/>
    <w:rsid w:val="00A64CF0"/>
    <w:rsid w:val="00A65236"/>
    <w:rsid w:val="00A65B56"/>
    <w:rsid w:val="00A65C61"/>
    <w:rsid w:val="00A65FBE"/>
    <w:rsid w:val="00A6719B"/>
    <w:rsid w:val="00A679AC"/>
    <w:rsid w:val="00A67AB5"/>
    <w:rsid w:val="00A67C9F"/>
    <w:rsid w:val="00A67D5D"/>
    <w:rsid w:val="00A70036"/>
    <w:rsid w:val="00A7087F"/>
    <w:rsid w:val="00A70B4C"/>
    <w:rsid w:val="00A70BA0"/>
    <w:rsid w:val="00A70E2D"/>
    <w:rsid w:val="00A714C4"/>
    <w:rsid w:val="00A71A08"/>
    <w:rsid w:val="00A71D63"/>
    <w:rsid w:val="00A71E4F"/>
    <w:rsid w:val="00A7227E"/>
    <w:rsid w:val="00A7234A"/>
    <w:rsid w:val="00A72481"/>
    <w:rsid w:val="00A72622"/>
    <w:rsid w:val="00A72812"/>
    <w:rsid w:val="00A72A62"/>
    <w:rsid w:val="00A72B82"/>
    <w:rsid w:val="00A72CEA"/>
    <w:rsid w:val="00A73904"/>
    <w:rsid w:val="00A74342"/>
    <w:rsid w:val="00A7485C"/>
    <w:rsid w:val="00A74C58"/>
    <w:rsid w:val="00A754FC"/>
    <w:rsid w:val="00A75A04"/>
    <w:rsid w:val="00A75DBB"/>
    <w:rsid w:val="00A75EC2"/>
    <w:rsid w:val="00A76324"/>
    <w:rsid w:val="00A76E05"/>
    <w:rsid w:val="00A7704F"/>
    <w:rsid w:val="00A77816"/>
    <w:rsid w:val="00A77E48"/>
    <w:rsid w:val="00A77EE6"/>
    <w:rsid w:val="00A805C2"/>
    <w:rsid w:val="00A80746"/>
    <w:rsid w:val="00A80CE1"/>
    <w:rsid w:val="00A80E3D"/>
    <w:rsid w:val="00A810C5"/>
    <w:rsid w:val="00A811EC"/>
    <w:rsid w:val="00A81E99"/>
    <w:rsid w:val="00A82B58"/>
    <w:rsid w:val="00A8348C"/>
    <w:rsid w:val="00A8366B"/>
    <w:rsid w:val="00A840AF"/>
    <w:rsid w:val="00A843C8"/>
    <w:rsid w:val="00A843FD"/>
    <w:rsid w:val="00A84750"/>
    <w:rsid w:val="00A849C1"/>
    <w:rsid w:val="00A84D8A"/>
    <w:rsid w:val="00A85650"/>
    <w:rsid w:val="00A857F8"/>
    <w:rsid w:val="00A858BF"/>
    <w:rsid w:val="00A85B80"/>
    <w:rsid w:val="00A869BC"/>
    <w:rsid w:val="00A86FE7"/>
    <w:rsid w:val="00A87156"/>
    <w:rsid w:val="00A875E2"/>
    <w:rsid w:val="00A9032A"/>
    <w:rsid w:val="00A90DD3"/>
    <w:rsid w:val="00A91010"/>
    <w:rsid w:val="00A912CA"/>
    <w:rsid w:val="00A91AD2"/>
    <w:rsid w:val="00A91C94"/>
    <w:rsid w:val="00A91DD5"/>
    <w:rsid w:val="00A9216F"/>
    <w:rsid w:val="00A922D1"/>
    <w:rsid w:val="00A9254B"/>
    <w:rsid w:val="00A92915"/>
    <w:rsid w:val="00A92C60"/>
    <w:rsid w:val="00A9389A"/>
    <w:rsid w:val="00A941E1"/>
    <w:rsid w:val="00A944D5"/>
    <w:rsid w:val="00A948A0"/>
    <w:rsid w:val="00A94A2C"/>
    <w:rsid w:val="00A9512E"/>
    <w:rsid w:val="00A959B5"/>
    <w:rsid w:val="00A95A7C"/>
    <w:rsid w:val="00A95E34"/>
    <w:rsid w:val="00A95EA7"/>
    <w:rsid w:val="00A9626F"/>
    <w:rsid w:val="00A96594"/>
    <w:rsid w:val="00A96798"/>
    <w:rsid w:val="00A967D3"/>
    <w:rsid w:val="00A96CEB"/>
    <w:rsid w:val="00A97571"/>
    <w:rsid w:val="00A97FC4"/>
    <w:rsid w:val="00AA12F6"/>
    <w:rsid w:val="00AA1398"/>
    <w:rsid w:val="00AA14AD"/>
    <w:rsid w:val="00AA1E56"/>
    <w:rsid w:val="00AA23E7"/>
    <w:rsid w:val="00AA24BE"/>
    <w:rsid w:val="00AA25CE"/>
    <w:rsid w:val="00AA29E7"/>
    <w:rsid w:val="00AA31D8"/>
    <w:rsid w:val="00AA37B7"/>
    <w:rsid w:val="00AA3DDC"/>
    <w:rsid w:val="00AA43F5"/>
    <w:rsid w:val="00AA46BC"/>
    <w:rsid w:val="00AA4D68"/>
    <w:rsid w:val="00AA4D6D"/>
    <w:rsid w:val="00AA4F47"/>
    <w:rsid w:val="00AA52B9"/>
    <w:rsid w:val="00AA5736"/>
    <w:rsid w:val="00AA65A8"/>
    <w:rsid w:val="00AA66BA"/>
    <w:rsid w:val="00AA6843"/>
    <w:rsid w:val="00AA6860"/>
    <w:rsid w:val="00AA6AA8"/>
    <w:rsid w:val="00AA70B7"/>
    <w:rsid w:val="00AA70E8"/>
    <w:rsid w:val="00AA75D5"/>
    <w:rsid w:val="00AB008A"/>
    <w:rsid w:val="00AB1B0C"/>
    <w:rsid w:val="00AB1DEA"/>
    <w:rsid w:val="00AB1F9C"/>
    <w:rsid w:val="00AB2E4A"/>
    <w:rsid w:val="00AB38D7"/>
    <w:rsid w:val="00AB3AA4"/>
    <w:rsid w:val="00AB444A"/>
    <w:rsid w:val="00AB44A4"/>
    <w:rsid w:val="00AB44D7"/>
    <w:rsid w:val="00AB475D"/>
    <w:rsid w:val="00AB4B20"/>
    <w:rsid w:val="00AB4E4D"/>
    <w:rsid w:val="00AB50EC"/>
    <w:rsid w:val="00AB5628"/>
    <w:rsid w:val="00AB5996"/>
    <w:rsid w:val="00AB5DA8"/>
    <w:rsid w:val="00AB665B"/>
    <w:rsid w:val="00AB68AA"/>
    <w:rsid w:val="00AB6B37"/>
    <w:rsid w:val="00AB6E2B"/>
    <w:rsid w:val="00AB70C2"/>
    <w:rsid w:val="00AB74CC"/>
    <w:rsid w:val="00AB776C"/>
    <w:rsid w:val="00AB7E39"/>
    <w:rsid w:val="00AC01B2"/>
    <w:rsid w:val="00AC02B9"/>
    <w:rsid w:val="00AC151B"/>
    <w:rsid w:val="00AC1F55"/>
    <w:rsid w:val="00AC2B05"/>
    <w:rsid w:val="00AC2E1F"/>
    <w:rsid w:val="00AC2F93"/>
    <w:rsid w:val="00AC4AA9"/>
    <w:rsid w:val="00AC4C59"/>
    <w:rsid w:val="00AC4C82"/>
    <w:rsid w:val="00AC521F"/>
    <w:rsid w:val="00AC5716"/>
    <w:rsid w:val="00AC65DB"/>
    <w:rsid w:val="00AC65F5"/>
    <w:rsid w:val="00AC6725"/>
    <w:rsid w:val="00AC781C"/>
    <w:rsid w:val="00AC7F51"/>
    <w:rsid w:val="00AD0530"/>
    <w:rsid w:val="00AD06FE"/>
    <w:rsid w:val="00AD0C60"/>
    <w:rsid w:val="00AD0CCF"/>
    <w:rsid w:val="00AD1179"/>
    <w:rsid w:val="00AD128D"/>
    <w:rsid w:val="00AD1482"/>
    <w:rsid w:val="00AD1531"/>
    <w:rsid w:val="00AD15D3"/>
    <w:rsid w:val="00AD19AD"/>
    <w:rsid w:val="00AD2B2B"/>
    <w:rsid w:val="00AD2CF7"/>
    <w:rsid w:val="00AD330C"/>
    <w:rsid w:val="00AD331B"/>
    <w:rsid w:val="00AD37CD"/>
    <w:rsid w:val="00AD3CE7"/>
    <w:rsid w:val="00AD3E95"/>
    <w:rsid w:val="00AD3F33"/>
    <w:rsid w:val="00AD3F84"/>
    <w:rsid w:val="00AD4124"/>
    <w:rsid w:val="00AD4AAC"/>
    <w:rsid w:val="00AD4D71"/>
    <w:rsid w:val="00AD501E"/>
    <w:rsid w:val="00AD5232"/>
    <w:rsid w:val="00AD58B1"/>
    <w:rsid w:val="00AD59DC"/>
    <w:rsid w:val="00AD5B36"/>
    <w:rsid w:val="00AD5B65"/>
    <w:rsid w:val="00AD60DE"/>
    <w:rsid w:val="00AD6578"/>
    <w:rsid w:val="00AD69AA"/>
    <w:rsid w:val="00AD69E6"/>
    <w:rsid w:val="00AD741B"/>
    <w:rsid w:val="00AD75B9"/>
    <w:rsid w:val="00AD75CE"/>
    <w:rsid w:val="00AD7CAA"/>
    <w:rsid w:val="00AE080C"/>
    <w:rsid w:val="00AE09AA"/>
    <w:rsid w:val="00AE15F4"/>
    <w:rsid w:val="00AE207B"/>
    <w:rsid w:val="00AE22B7"/>
    <w:rsid w:val="00AE248D"/>
    <w:rsid w:val="00AE2722"/>
    <w:rsid w:val="00AE2C2C"/>
    <w:rsid w:val="00AE331F"/>
    <w:rsid w:val="00AE336A"/>
    <w:rsid w:val="00AE35A2"/>
    <w:rsid w:val="00AE4548"/>
    <w:rsid w:val="00AE4E80"/>
    <w:rsid w:val="00AE4EC2"/>
    <w:rsid w:val="00AE57DE"/>
    <w:rsid w:val="00AE5A1D"/>
    <w:rsid w:val="00AE5A36"/>
    <w:rsid w:val="00AE5EFE"/>
    <w:rsid w:val="00AE6353"/>
    <w:rsid w:val="00AE6683"/>
    <w:rsid w:val="00AE6E08"/>
    <w:rsid w:val="00AE7081"/>
    <w:rsid w:val="00AE79BC"/>
    <w:rsid w:val="00AF0157"/>
    <w:rsid w:val="00AF0752"/>
    <w:rsid w:val="00AF0D7B"/>
    <w:rsid w:val="00AF0E78"/>
    <w:rsid w:val="00AF11C2"/>
    <w:rsid w:val="00AF1512"/>
    <w:rsid w:val="00AF1736"/>
    <w:rsid w:val="00AF189D"/>
    <w:rsid w:val="00AF34DE"/>
    <w:rsid w:val="00AF3663"/>
    <w:rsid w:val="00AF3D9F"/>
    <w:rsid w:val="00AF4239"/>
    <w:rsid w:val="00AF4586"/>
    <w:rsid w:val="00AF4BAB"/>
    <w:rsid w:val="00AF5127"/>
    <w:rsid w:val="00AF6468"/>
    <w:rsid w:val="00AF6914"/>
    <w:rsid w:val="00AF6DC3"/>
    <w:rsid w:val="00AF6FE4"/>
    <w:rsid w:val="00AF7140"/>
    <w:rsid w:val="00AF7620"/>
    <w:rsid w:val="00AF7693"/>
    <w:rsid w:val="00AF7B3D"/>
    <w:rsid w:val="00AF7FDB"/>
    <w:rsid w:val="00AF7FEF"/>
    <w:rsid w:val="00B00113"/>
    <w:rsid w:val="00B0011E"/>
    <w:rsid w:val="00B004EB"/>
    <w:rsid w:val="00B00EC9"/>
    <w:rsid w:val="00B00F5B"/>
    <w:rsid w:val="00B01227"/>
    <w:rsid w:val="00B013A0"/>
    <w:rsid w:val="00B01D0E"/>
    <w:rsid w:val="00B01F22"/>
    <w:rsid w:val="00B026DB"/>
    <w:rsid w:val="00B02F81"/>
    <w:rsid w:val="00B0312C"/>
    <w:rsid w:val="00B03153"/>
    <w:rsid w:val="00B0384F"/>
    <w:rsid w:val="00B04159"/>
    <w:rsid w:val="00B054C9"/>
    <w:rsid w:val="00B05684"/>
    <w:rsid w:val="00B062F1"/>
    <w:rsid w:val="00B06386"/>
    <w:rsid w:val="00B0650D"/>
    <w:rsid w:val="00B0656E"/>
    <w:rsid w:val="00B0690D"/>
    <w:rsid w:val="00B06BF7"/>
    <w:rsid w:val="00B06CA1"/>
    <w:rsid w:val="00B071E1"/>
    <w:rsid w:val="00B077F5"/>
    <w:rsid w:val="00B07BAB"/>
    <w:rsid w:val="00B07E9A"/>
    <w:rsid w:val="00B07F44"/>
    <w:rsid w:val="00B10910"/>
    <w:rsid w:val="00B10F4E"/>
    <w:rsid w:val="00B12BB6"/>
    <w:rsid w:val="00B12FF7"/>
    <w:rsid w:val="00B13ED0"/>
    <w:rsid w:val="00B14353"/>
    <w:rsid w:val="00B1470C"/>
    <w:rsid w:val="00B14901"/>
    <w:rsid w:val="00B14AA3"/>
    <w:rsid w:val="00B14E6D"/>
    <w:rsid w:val="00B14E91"/>
    <w:rsid w:val="00B1521E"/>
    <w:rsid w:val="00B15221"/>
    <w:rsid w:val="00B15405"/>
    <w:rsid w:val="00B15C28"/>
    <w:rsid w:val="00B15D12"/>
    <w:rsid w:val="00B16102"/>
    <w:rsid w:val="00B16F9D"/>
    <w:rsid w:val="00B1753A"/>
    <w:rsid w:val="00B1768B"/>
    <w:rsid w:val="00B1792A"/>
    <w:rsid w:val="00B17F05"/>
    <w:rsid w:val="00B20315"/>
    <w:rsid w:val="00B20944"/>
    <w:rsid w:val="00B20C88"/>
    <w:rsid w:val="00B2131C"/>
    <w:rsid w:val="00B216BB"/>
    <w:rsid w:val="00B216CB"/>
    <w:rsid w:val="00B2175B"/>
    <w:rsid w:val="00B218DB"/>
    <w:rsid w:val="00B218EE"/>
    <w:rsid w:val="00B22AF7"/>
    <w:rsid w:val="00B22E59"/>
    <w:rsid w:val="00B24538"/>
    <w:rsid w:val="00B247A2"/>
    <w:rsid w:val="00B249D0"/>
    <w:rsid w:val="00B24B2D"/>
    <w:rsid w:val="00B24F9C"/>
    <w:rsid w:val="00B250DB"/>
    <w:rsid w:val="00B25285"/>
    <w:rsid w:val="00B2572A"/>
    <w:rsid w:val="00B259FA"/>
    <w:rsid w:val="00B25A64"/>
    <w:rsid w:val="00B26524"/>
    <w:rsid w:val="00B266E8"/>
    <w:rsid w:val="00B26D32"/>
    <w:rsid w:val="00B270C8"/>
    <w:rsid w:val="00B270D2"/>
    <w:rsid w:val="00B27472"/>
    <w:rsid w:val="00B2760E"/>
    <w:rsid w:val="00B27762"/>
    <w:rsid w:val="00B302BE"/>
    <w:rsid w:val="00B30683"/>
    <w:rsid w:val="00B309C8"/>
    <w:rsid w:val="00B30CD4"/>
    <w:rsid w:val="00B31021"/>
    <w:rsid w:val="00B310AF"/>
    <w:rsid w:val="00B3124C"/>
    <w:rsid w:val="00B3133A"/>
    <w:rsid w:val="00B31340"/>
    <w:rsid w:val="00B32435"/>
    <w:rsid w:val="00B32C55"/>
    <w:rsid w:val="00B330EF"/>
    <w:rsid w:val="00B332BD"/>
    <w:rsid w:val="00B334B1"/>
    <w:rsid w:val="00B33826"/>
    <w:rsid w:val="00B338F3"/>
    <w:rsid w:val="00B33D9B"/>
    <w:rsid w:val="00B33FD2"/>
    <w:rsid w:val="00B34221"/>
    <w:rsid w:val="00B34234"/>
    <w:rsid w:val="00B3473F"/>
    <w:rsid w:val="00B34A7D"/>
    <w:rsid w:val="00B3558C"/>
    <w:rsid w:val="00B36164"/>
    <w:rsid w:val="00B36F97"/>
    <w:rsid w:val="00B370BB"/>
    <w:rsid w:val="00B3715A"/>
    <w:rsid w:val="00B37322"/>
    <w:rsid w:val="00B37A83"/>
    <w:rsid w:val="00B37B4F"/>
    <w:rsid w:val="00B37F5D"/>
    <w:rsid w:val="00B4027B"/>
    <w:rsid w:val="00B40BE9"/>
    <w:rsid w:val="00B40F66"/>
    <w:rsid w:val="00B4109C"/>
    <w:rsid w:val="00B41D4A"/>
    <w:rsid w:val="00B42164"/>
    <w:rsid w:val="00B42315"/>
    <w:rsid w:val="00B4248B"/>
    <w:rsid w:val="00B4347A"/>
    <w:rsid w:val="00B438D5"/>
    <w:rsid w:val="00B43A34"/>
    <w:rsid w:val="00B443EA"/>
    <w:rsid w:val="00B450AA"/>
    <w:rsid w:val="00B453CA"/>
    <w:rsid w:val="00B453F9"/>
    <w:rsid w:val="00B45C11"/>
    <w:rsid w:val="00B45E7D"/>
    <w:rsid w:val="00B46175"/>
    <w:rsid w:val="00B462A0"/>
    <w:rsid w:val="00B4657A"/>
    <w:rsid w:val="00B46A1F"/>
    <w:rsid w:val="00B47227"/>
    <w:rsid w:val="00B4745A"/>
    <w:rsid w:val="00B477C4"/>
    <w:rsid w:val="00B478BC"/>
    <w:rsid w:val="00B47E83"/>
    <w:rsid w:val="00B50873"/>
    <w:rsid w:val="00B50A5A"/>
    <w:rsid w:val="00B50E17"/>
    <w:rsid w:val="00B50FB6"/>
    <w:rsid w:val="00B510EF"/>
    <w:rsid w:val="00B51399"/>
    <w:rsid w:val="00B5178B"/>
    <w:rsid w:val="00B51965"/>
    <w:rsid w:val="00B51DFB"/>
    <w:rsid w:val="00B533D3"/>
    <w:rsid w:val="00B53652"/>
    <w:rsid w:val="00B5373E"/>
    <w:rsid w:val="00B5395E"/>
    <w:rsid w:val="00B53A81"/>
    <w:rsid w:val="00B53B73"/>
    <w:rsid w:val="00B5420E"/>
    <w:rsid w:val="00B54572"/>
    <w:rsid w:val="00B54C29"/>
    <w:rsid w:val="00B552F8"/>
    <w:rsid w:val="00B55636"/>
    <w:rsid w:val="00B55D5A"/>
    <w:rsid w:val="00B55DC2"/>
    <w:rsid w:val="00B5621F"/>
    <w:rsid w:val="00B5677E"/>
    <w:rsid w:val="00B571A6"/>
    <w:rsid w:val="00B573FC"/>
    <w:rsid w:val="00B57567"/>
    <w:rsid w:val="00B57CE7"/>
    <w:rsid w:val="00B57E26"/>
    <w:rsid w:val="00B60443"/>
    <w:rsid w:val="00B60C5B"/>
    <w:rsid w:val="00B60CAF"/>
    <w:rsid w:val="00B6139E"/>
    <w:rsid w:val="00B61B71"/>
    <w:rsid w:val="00B61D20"/>
    <w:rsid w:val="00B61D79"/>
    <w:rsid w:val="00B62320"/>
    <w:rsid w:val="00B62409"/>
    <w:rsid w:val="00B62A1B"/>
    <w:rsid w:val="00B62E19"/>
    <w:rsid w:val="00B63206"/>
    <w:rsid w:val="00B634F6"/>
    <w:rsid w:val="00B6378D"/>
    <w:rsid w:val="00B63E29"/>
    <w:rsid w:val="00B64098"/>
    <w:rsid w:val="00B642C0"/>
    <w:rsid w:val="00B64A19"/>
    <w:rsid w:val="00B64E15"/>
    <w:rsid w:val="00B654F3"/>
    <w:rsid w:val="00B655AA"/>
    <w:rsid w:val="00B65C16"/>
    <w:rsid w:val="00B666F8"/>
    <w:rsid w:val="00B66B55"/>
    <w:rsid w:val="00B66BCC"/>
    <w:rsid w:val="00B66C07"/>
    <w:rsid w:val="00B6700A"/>
    <w:rsid w:val="00B67656"/>
    <w:rsid w:val="00B676D0"/>
    <w:rsid w:val="00B70C9D"/>
    <w:rsid w:val="00B71420"/>
    <w:rsid w:val="00B71BB4"/>
    <w:rsid w:val="00B72575"/>
    <w:rsid w:val="00B72975"/>
    <w:rsid w:val="00B72BD7"/>
    <w:rsid w:val="00B73256"/>
    <w:rsid w:val="00B73A40"/>
    <w:rsid w:val="00B73DE6"/>
    <w:rsid w:val="00B73E98"/>
    <w:rsid w:val="00B7441A"/>
    <w:rsid w:val="00B7462F"/>
    <w:rsid w:val="00B75415"/>
    <w:rsid w:val="00B7596C"/>
    <w:rsid w:val="00B75B4D"/>
    <w:rsid w:val="00B75CF5"/>
    <w:rsid w:val="00B769B6"/>
    <w:rsid w:val="00B76EAB"/>
    <w:rsid w:val="00B76FD6"/>
    <w:rsid w:val="00B77641"/>
    <w:rsid w:val="00B80104"/>
    <w:rsid w:val="00B80A51"/>
    <w:rsid w:val="00B811C1"/>
    <w:rsid w:val="00B8198A"/>
    <w:rsid w:val="00B81B0B"/>
    <w:rsid w:val="00B8274C"/>
    <w:rsid w:val="00B82843"/>
    <w:rsid w:val="00B82A36"/>
    <w:rsid w:val="00B82ACE"/>
    <w:rsid w:val="00B835FC"/>
    <w:rsid w:val="00B83A2B"/>
    <w:rsid w:val="00B84126"/>
    <w:rsid w:val="00B85051"/>
    <w:rsid w:val="00B853B6"/>
    <w:rsid w:val="00B857CD"/>
    <w:rsid w:val="00B8605F"/>
    <w:rsid w:val="00B863DA"/>
    <w:rsid w:val="00B868E9"/>
    <w:rsid w:val="00B86B9F"/>
    <w:rsid w:val="00B870F9"/>
    <w:rsid w:val="00B876D0"/>
    <w:rsid w:val="00B87B77"/>
    <w:rsid w:val="00B87EC3"/>
    <w:rsid w:val="00B90333"/>
    <w:rsid w:val="00B90828"/>
    <w:rsid w:val="00B90D00"/>
    <w:rsid w:val="00B90E96"/>
    <w:rsid w:val="00B916B2"/>
    <w:rsid w:val="00B923B5"/>
    <w:rsid w:val="00B92878"/>
    <w:rsid w:val="00B92C9E"/>
    <w:rsid w:val="00B92CD5"/>
    <w:rsid w:val="00B9313F"/>
    <w:rsid w:val="00B93145"/>
    <w:rsid w:val="00B935F7"/>
    <w:rsid w:val="00B93A85"/>
    <w:rsid w:val="00B93AE0"/>
    <w:rsid w:val="00B93F8D"/>
    <w:rsid w:val="00B9405F"/>
    <w:rsid w:val="00B941FF"/>
    <w:rsid w:val="00B94C4A"/>
    <w:rsid w:val="00B94D1E"/>
    <w:rsid w:val="00B94D94"/>
    <w:rsid w:val="00B9578A"/>
    <w:rsid w:val="00B96B8C"/>
    <w:rsid w:val="00B96EE7"/>
    <w:rsid w:val="00B976BB"/>
    <w:rsid w:val="00B97812"/>
    <w:rsid w:val="00B97A4B"/>
    <w:rsid w:val="00B97A7C"/>
    <w:rsid w:val="00B97E73"/>
    <w:rsid w:val="00BA0326"/>
    <w:rsid w:val="00BA104A"/>
    <w:rsid w:val="00BA11FA"/>
    <w:rsid w:val="00BA190C"/>
    <w:rsid w:val="00BA21AE"/>
    <w:rsid w:val="00BA2E08"/>
    <w:rsid w:val="00BA365E"/>
    <w:rsid w:val="00BA3B91"/>
    <w:rsid w:val="00BA4151"/>
    <w:rsid w:val="00BA49A2"/>
    <w:rsid w:val="00BA5B41"/>
    <w:rsid w:val="00BA5DE6"/>
    <w:rsid w:val="00BA624B"/>
    <w:rsid w:val="00BA65EF"/>
    <w:rsid w:val="00BA69F3"/>
    <w:rsid w:val="00BA6A01"/>
    <w:rsid w:val="00BA6B99"/>
    <w:rsid w:val="00BA7081"/>
    <w:rsid w:val="00BA75AB"/>
    <w:rsid w:val="00BA77E0"/>
    <w:rsid w:val="00BB0322"/>
    <w:rsid w:val="00BB0ADE"/>
    <w:rsid w:val="00BB0D58"/>
    <w:rsid w:val="00BB0E6F"/>
    <w:rsid w:val="00BB0FFE"/>
    <w:rsid w:val="00BB1754"/>
    <w:rsid w:val="00BB1B42"/>
    <w:rsid w:val="00BB1D80"/>
    <w:rsid w:val="00BB2451"/>
    <w:rsid w:val="00BB24E0"/>
    <w:rsid w:val="00BB3139"/>
    <w:rsid w:val="00BB3DDC"/>
    <w:rsid w:val="00BB43A0"/>
    <w:rsid w:val="00BB4D1C"/>
    <w:rsid w:val="00BB5476"/>
    <w:rsid w:val="00BB5479"/>
    <w:rsid w:val="00BB5840"/>
    <w:rsid w:val="00BB5D04"/>
    <w:rsid w:val="00BB5F29"/>
    <w:rsid w:val="00BB5FA1"/>
    <w:rsid w:val="00BB6098"/>
    <w:rsid w:val="00BB7030"/>
    <w:rsid w:val="00BB7162"/>
    <w:rsid w:val="00BB78BC"/>
    <w:rsid w:val="00BC003B"/>
    <w:rsid w:val="00BC0099"/>
    <w:rsid w:val="00BC0456"/>
    <w:rsid w:val="00BC0B91"/>
    <w:rsid w:val="00BC0CCF"/>
    <w:rsid w:val="00BC1007"/>
    <w:rsid w:val="00BC13D0"/>
    <w:rsid w:val="00BC156A"/>
    <w:rsid w:val="00BC17D7"/>
    <w:rsid w:val="00BC17F1"/>
    <w:rsid w:val="00BC184B"/>
    <w:rsid w:val="00BC18C5"/>
    <w:rsid w:val="00BC1C3D"/>
    <w:rsid w:val="00BC1E5C"/>
    <w:rsid w:val="00BC20A6"/>
    <w:rsid w:val="00BC2634"/>
    <w:rsid w:val="00BC40F1"/>
    <w:rsid w:val="00BC46B1"/>
    <w:rsid w:val="00BC4C70"/>
    <w:rsid w:val="00BC4E70"/>
    <w:rsid w:val="00BC50C2"/>
    <w:rsid w:val="00BC5981"/>
    <w:rsid w:val="00BC5ABF"/>
    <w:rsid w:val="00BC62B8"/>
    <w:rsid w:val="00BC6D78"/>
    <w:rsid w:val="00BC7D3E"/>
    <w:rsid w:val="00BC7D67"/>
    <w:rsid w:val="00BC7DB4"/>
    <w:rsid w:val="00BD02CC"/>
    <w:rsid w:val="00BD02E9"/>
    <w:rsid w:val="00BD08F2"/>
    <w:rsid w:val="00BD0AA6"/>
    <w:rsid w:val="00BD13C0"/>
    <w:rsid w:val="00BD16CF"/>
    <w:rsid w:val="00BD1A09"/>
    <w:rsid w:val="00BD1BC4"/>
    <w:rsid w:val="00BD1E08"/>
    <w:rsid w:val="00BD2003"/>
    <w:rsid w:val="00BD25A8"/>
    <w:rsid w:val="00BD2B39"/>
    <w:rsid w:val="00BD2D41"/>
    <w:rsid w:val="00BD2D56"/>
    <w:rsid w:val="00BD2F8D"/>
    <w:rsid w:val="00BD30E1"/>
    <w:rsid w:val="00BD32B2"/>
    <w:rsid w:val="00BD34CB"/>
    <w:rsid w:val="00BD3E58"/>
    <w:rsid w:val="00BD4409"/>
    <w:rsid w:val="00BD5118"/>
    <w:rsid w:val="00BD5851"/>
    <w:rsid w:val="00BD5AF8"/>
    <w:rsid w:val="00BD60A0"/>
    <w:rsid w:val="00BD6532"/>
    <w:rsid w:val="00BD699B"/>
    <w:rsid w:val="00BD6E30"/>
    <w:rsid w:val="00BD6E3A"/>
    <w:rsid w:val="00BD7125"/>
    <w:rsid w:val="00BD72A5"/>
    <w:rsid w:val="00BD766E"/>
    <w:rsid w:val="00BD7C8F"/>
    <w:rsid w:val="00BD7EE6"/>
    <w:rsid w:val="00BE0843"/>
    <w:rsid w:val="00BE18BC"/>
    <w:rsid w:val="00BE2C1B"/>
    <w:rsid w:val="00BE3619"/>
    <w:rsid w:val="00BE367E"/>
    <w:rsid w:val="00BE378F"/>
    <w:rsid w:val="00BE3AAC"/>
    <w:rsid w:val="00BE3D82"/>
    <w:rsid w:val="00BE434D"/>
    <w:rsid w:val="00BE4595"/>
    <w:rsid w:val="00BE4821"/>
    <w:rsid w:val="00BE4AE9"/>
    <w:rsid w:val="00BE4C42"/>
    <w:rsid w:val="00BE517A"/>
    <w:rsid w:val="00BE5536"/>
    <w:rsid w:val="00BE5B2A"/>
    <w:rsid w:val="00BE5B2E"/>
    <w:rsid w:val="00BE61A9"/>
    <w:rsid w:val="00BE61FB"/>
    <w:rsid w:val="00BE6BFC"/>
    <w:rsid w:val="00BE75C8"/>
    <w:rsid w:val="00BE7DBB"/>
    <w:rsid w:val="00BE7EED"/>
    <w:rsid w:val="00BF0E9D"/>
    <w:rsid w:val="00BF1491"/>
    <w:rsid w:val="00BF1F6C"/>
    <w:rsid w:val="00BF203A"/>
    <w:rsid w:val="00BF272D"/>
    <w:rsid w:val="00BF28FF"/>
    <w:rsid w:val="00BF325B"/>
    <w:rsid w:val="00BF3679"/>
    <w:rsid w:val="00BF4210"/>
    <w:rsid w:val="00BF44D5"/>
    <w:rsid w:val="00BF452C"/>
    <w:rsid w:val="00BF4D1E"/>
    <w:rsid w:val="00BF4EC9"/>
    <w:rsid w:val="00BF58E5"/>
    <w:rsid w:val="00BF6168"/>
    <w:rsid w:val="00BF6B7B"/>
    <w:rsid w:val="00BF6D96"/>
    <w:rsid w:val="00BF728F"/>
    <w:rsid w:val="00C00CD3"/>
    <w:rsid w:val="00C00E0B"/>
    <w:rsid w:val="00C00E1C"/>
    <w:rsid w:val="00C01296"/>
    <w:rsid w:val="00C019B6"/>
    <w:rsid w:val="00C01BFA"/>
    <w:rsid w:val="00C01C85"/>
    <w:rsid w:val="00C02034"/>
    <w:rsid w:val="00C02641"/>
    <w:rsid w:val="00C02A53"/>
    <w:rsid w:val="00C02F43"/>
    <w:rsid w:val="00C0348E"/>
    <w:rsid w:val="00C03580"/>
    <w:rsid w:val="00C04068"/>
    <w:rsid w:val="00C0439E"/>
    <w:rsid w:val="00C05A4D"/>
    <w:rsid w:val="00C060C1"/>
    <w:rsid w:val="00C06193"/>
    <w:rsid w:val="00C061F7"/>
    <w:rsid w:val="00C063E7"/>
    <w:rsid w:val="00C06EF8"/>
    <w:rsid w:val="00C06F3E"/>
    <w:rsid w:val="00C07933"/>
    <w:rsid w:val="00C10261"/>
    <w:rsid w:val="00C10652"/>
    <w:rsid w:val="00C11A56"/>
    <w:rsid w:val="00C12105"/>
    <w:rsid w:val="00C13616"/>
    <w:rsid w:val="00C138C5"/>
    <w:rsid w:val="00C14501"/>
    <w:rsid w:val="00C145A3"/>
    <w:rsid w:val="00C146D5"/>
    <w:rsid w:val="00C15428"/>
    <w:rsid w:val="00C1551E"/>
    <w:rsid w:val="00C15603"/>
    <w:rsid w:val="00C160FC"/>
    <w:rsid w:val="00C162DF"/>
    <w:rsid w:val="00C1639E"/>
    <w:rsid w:val="00C174C2"/>
    <w:rsid w:val="00C20D8A"/>
    <w:rsid w:val="00C20EA3"/>
    <w:rsid w:val="00C20EBB"/>
    <w:rsid w:val="00C20F0C"/>
    <w:rsid w:val="00C211EA"/>
    <w:rsid w:val="00C2127B"/>
    <w:rsid w:val="00C22543"/>
    <w:rsid w:val="00C23025"/>
    <w:rsid w:val="00C23153"/>
    <w:rsid w:val="00C237A1"/>
    <w:rsid w:val="00C23985"/>
    <w:rsid w:val="00C23BD1"/>
    <w:rsid w:val="00C23DC4"/>
    <w:rsid w:val="00C23DFC"/>
    <w:rsid w:val="00C243A7"/>
    <w:rsid w:val="00C24421"/>
    <w:rsid w:val="00C2446A"/>
    <w:rsid w:val="00C24AC2"/>
    <w:rsid w:val="00C24B73"/>
    <w:rsid w:val="00C254FE"/>
    <w:rsid w:val="00C25CE8"/>
    <w:rsid w:val="00C25FA3"/>
    <w:rsid w:val="00C26107"/>
    <w:rsid w:val="00C263AA"/>
    <w:rsid w:val="00C26888"/>
    <w:rsid w:val="00C26920"/>
    <w:rsid w:val="00C26A58"/>
    <w:rsid w:val="00C26FD3"/>
    <w:rsid w:val="00C27287"/>
    <w:rsid w:val="00C2791A"/>
    <w:rsid w:val="00C27A9C"/>
    <w:rsid w:val="00C27EAD"/>
    <w:rsid w:val="00C3014E"/>
    <w:rsid w:val="00C303AA"/>
    <w:rsid w:val="00C304A3"/>
    <w:rsid w:val="00C309BF"/>
    <w:rsid w:val="00C3134F"/>
    <w:rsid w:val="00C31F0C"/>
    <w:rsid w:val="00C3270B"/>
    <w:rsid w:val="00C3296F"/>
    <w:rsid w:val="00C32C91"/>
    <w:rsid w:val="00C32DA3"/>
    <w:rsid w:val="00C3372C"/>
    <w:rsid w:val="00C33B73"/>
    <w:rsid w:val="00C33FD9"/>
    <w:rsid w:val="00C34593"/>
    <w:rsid w:val="00C34793"/>
    <w:rsid w:val="00C34C4A"/>
    <w:rsid w:val="00C34F61"/>
    <w:rsid w:val="00C3531C"/>
    <w:rsid w:val="00C35845"/>
    <w:rsid w:val="00C35B31"/>
    <w:rsid w:val="00C36D29"/>
    <w:rsid w:val="00C375DA"/>
    <w:rsid w:val="00C4051E"/>
    <w:rsid w:val="00C40698"/>
    <w:rsid w:val="00C407FC"/>
    <w:rsid w:val="00C409D3"/>
    <w:rsid w:val="00C4147D"/>
    <w:rsid w:val="00C41D4F"/>
    <w:rsid w:val="00C41E20"/>
    <w:rsid w:val="00C4253E"/>
    <w:rsid w:val="00C428B6"/>
    <w:rsid w:val="00C429A1"/>
    <w:rsid w:val="00C42A1C"/>
    <w:rsid w:val="00C42B02"/>
    <w:rsid w:val="00C42D87"/>
    <w:rsid w:val="00C42F90"/>
    <w:rsid w:val="00C4333B"/>
    <w:rsid w:val="00C44176"/>
    <w:rsid w:val="00C446FC"/>
    <w:rsid w:val="00C44739"/>
    <w:rsid w:val="00C44CBC"/>
    <w:rsid w:val="00C44EBA"/>
    <w:rsid w:val="00C4595B"/>
    <w:rsid w:val="00C465A7"/>
    <w:rsid w:val="00C46633"/>
    <w:rsid w:val="00C466B2"/>
    <w:rsid w:val="00C471EE"/>
    <w:rsid w:val="00C47445"/>
    <w:rsid w:val="00C47738"/>
    <w:rsid w:val="00C479CA"/>
    <w:rsid w:val="00C479F0"/>
    <w:rsid w:val="00C50645"/>
    <w:rsid w:val="00C50996"/>
    <w:rsid w:val="00C51189"/>
    <w:rsid w:val="00C5147D"/>
    <w:rsid w:val="00C51A4F"/>
    <w:rsid w:val="00C51AF0"/>
    <w:rsid w:val="00C51DA5"/>
    <w:rsid w:val="00C52280"/>
    <w:rsid w:val="00C522E3"/>
    <w:rsid w:val="00C53402"/>
    <w:rsid w:val="00C53D2A"/>
    <w:rsid w:val="00C53EFF"/>
    <w:rsid w:val="00C5438A"/>
    <w:rsid w:val="00C546A2"/>
    <w:rsid w:val="00C562BE"/>
    <w:rsid w:val="00C5686E"/>
    <w:rsid w:val="00C56D0A"/>
    <w:rsid w:val="00C56E34"/>
    <w:rsid w:val="00C57CB2"/>
    <w:rsid w:val="00C6036A"/>
    <w:rsid w:val="00C603AF"/>
    <w:rsid w:val="00C60518"/>
    <w:rsid w:val="00C609C8"/>
    <w:rsid w:val="00C60A15"/>
    <w:rsid w:val="00C60D31"/>
    <w:rsid w:val="00C61086"/>
    <w:rsid w:val="00C61091"/>
    <w:rsid w:val="00C612CF"/>
    <w:rsid w:val="00C61627"/>
    <w:rsid w:val="00C61840"/>
    <w:rsid w:val="00C61A82"/>
    <w:rsid w:val="00C6208E"/>
    <w:rsid w:val="00C62094"/>
    <w:rsid w:val="00C627DB"/>
    <w:rsid w:val="00C63060"/>
    <w:rsid w:val="00C63F39"/>
    <w:rsid w:val="00C65681"/>
    <w:rsid w:val="00C65705"/>
    <w:rsid w:val="00C65D2D"/>
    <w:rsid w:val="00C661A3"/>
    <w:rsid w:val="00C66889"/>
    <w:rsid w:val="00C677A2"/>
    <w:rsid w:val="00C678AC"/>
    <w:rsid w:val="00C7089A"/>
    <w:rsid w:val="00C70F4A"/>
    <w:rsid w:val="00C71121"/>
    <w:rsid w:val="00C711A9"/>
    <w:rsid w:val="00C71377"/>
    <w:rsid w:val="00C715EE"/>
    <w:rsid w:val="00C71869"/>
    <w:rsid w:val="00C71B12"/>
    <w:rsid w:val="00C71B79"/>
    <w:rsid w:val="00C7213A"/>
    <w:rsid w:val="00C725AB"/>
    <w:rsid w:val="00C726B8"/>
    <w:rsid w:val="00C727B6"/>
    <w:rsid w:val="00C727D5"/>
    <w:rsid w:val="00C740F8"/>
    <w:rsid w:val="00C742EB"/>
    <w:rsid w:val="00C74350"/>
    <w:rsid w:val="00C7461F"/>
    <w:rsid w:val="00C74987"/>
    <w:rsid w:val="00C74C28"/>
    <w:rsid w:val="00C74F2F"/>
    <w:rsid w:val="00C75020"/>
    <w:rsid w:val="00C75653"/>
    <w:rsid w:val="00C75A63"/>
    <w:rsid w:val="00C75AC9"/>
    <w:rsid w:val="00C75B1C"/>
    <w:rsid w:val="00C75CCB"/>
    <w:rsid w:val="00C75D73"/>
    <w:rsid w:val="00C7652E"/>
    <w:rsid w:val="00C76730"/>
    <w:rsid w:val="00C80B51"/>
    <w:rsid w:val="00C80BFC"/>
    <w:rsid w:val="00C8137B"/>
    <w:rsid w:val="00C81535"/>
    <w:rsid w:val="00C81C18"/>
    <w:rsid w:val="00C82E11"/>
    <w:rsid w:val="00C82EF6"/>
    <w:rsid w:val="00C832F2"/>
    <w:rsid w:val="00C834B6"/>
    <w:rsid w:val="00C83DAA"/>
    <w:rsid w:val="00C83FB4"/>
    <w:rsid w:val="00C8411B"/>
    <w:rsid w:val="00C846C8"/>
    <w:rsid w:val="00C847BF"/>
    <w:rsid w:val="00C84C5E"/>
    <w:rsid w:val="00C85064"/>
    <w:rsid w:val="00C8535D"/>
    <w:rsid w:val="00C85717"/>
    <w:rsid w:val="00C85B92"/>
    <w:rsid w:val="00C863AB"/>
    <w:rsid w:val="00C86499"/>
    <w:rsid w:val="00C868F1"/>
    <w:rsid w:val="00C871DD"/>
    <w:rsid w:val="00C87BCA"/>
    <w:rsid w:val="00C87F44"/>
    <w:rsid w:val="00C90678"/>
    <w:rsid w:val="00C9084C"/>
    <w:rsid w:val="00C90BA2"/>
    <w:rsid w:val="00C90E58"/>
    <w:rsid w:val="00C91134"/>
    <w:rsid w:val="00C9124E"/>
    <w:rsid w:val="00C91743"/>
    <w:rsid w:val="00C9221D"/>
    <w:rsid w:val="00C935F0"/>
    <w:rsid w:val="00C937F2"/>
    <w:rsid w:val="00C93C26"/>
    <w:rsid w:val="00C93C74"/>
    <w:rsid w:val="00C944BE"/>
    <w:rsid w:val="00C9466D"/>
    <w:rsid w:val="00C94A95"/>
    <w:rsid w:val="00C950F3"/>
    <w:rsid w:val="00C95BFA"/>
    <w:rsid w:val="00C95CDF"/>
    <w:rsid w:val="00C95FCB"/>
    <w:rsid w:val="00C96551"/>
    <w:rsid w:val="00C96845"/>
    <w:rsid w:val="00C96FC9"/>
    <w:rsid w:val="00C97535"/>
    <w:rsid w:val="00C9797B"/>
    <w:rsid w:val="00C97BA0"/>
    <w:rsid w:val="00C97BA6"/>
    <w:rsid w:val="00CA05E8"/>
    <w:rsid w:val="00CA0E0C"/>
    <w:rsid w:val="00CA13E1"/>
    <w:rsid w:val="00CA1F8B"/>
    <w:rsid w:val="00CA1FD6"/>
    <w:rsid w:val="00CA201F"/>
    <w:rsid w:val="00CA2341"/>
    <w:rsid w:val="00CA2481"/>
    <w:rsid w:val="00CA261E"/>
    <w:rsid w:val="00CA40B3"/>
    <w:rsid w:val="00CA41EA"/>
    <w:rsid w:val="00CA42E9"/>
    <w:rsid w:val="00CA432F"/>
    <w:rsid w:val="00CA45A8"/>
    <w:rsid w:val="00CA4D35"/>
    <w:rsid w:val="00CA5BF0"/>
    <w:rsid w:val="00CA5D6D"/>
    <w:rsid w:val="00CA6027"/>
    <w:rsid w:val="00CA6B19"/>
    <w:rsid w:val="00CA6F18"/>
    <w:rsid w:val="00CA7139"/>
    <w:rsid w:val="00CA7731"/>
    <w:rsid w:val="00CB001A"/>
    <w:rsid w:val="00CB00C2"/>
    <w:rsid w:val="00CB05B6"/>
    <w:rsid w:val="00CB0778"/>
    <w:rsid w:val="00CB088B"/>
    <w:rsid w:val="00CB0E52"/>
    <w:rsid w:val="00CB165C"/>
    <w:rsid w:val="00CB1E40"/>
    <w:rsid w:val="00CB1F34"/>
    <w:rsid w:val="00CB2B6B"/>
    <w:rsid w:val="00CB2D72"/>
    <w:rsid w:val="00CB2E44"/>
    <w:rsid w:val="00CB2FC3"/>
    <w:rsid w:val="00CB3057"/>
    <w:rsid w:val="00CB31A6"/>
    <w:rsid w:val="00CB36EA"/>
    <w:rsid w:val="00CB3B46"/>
    <w:rsid w:val="00CB3BD6"/>
    <w:rsid w:val="00CB4050"/>
    <w:rsid w:val="00CB4AD0"/>
    <w:rsid w:val="00CB4CE4"/>
    <w:rsid w:val="00CB4E47"/>
    <w:rsid w:val="00CB4F80"/>
    <w:rsid w:val="00CB5118"/>
    <w:rsid w:val="00CB5649"/>
    <w:rsid w:val="00CB580C"/>
    <w:rsid w:val="00CB5DA8"/>
    <w:rsid w:val="00CB6586"/>
    <w:rsid w:val="00CB69B6"/>
    <w:rsid w:val="00CB6A9A"/>
    <w:rsid w:val="00CB6E26"/>
    <w:rsid w:val="00CB764A"/>
    <w:rsid w:val="00CC0444"/>
    <w:rsid w:val="00CC069B"/>
    <w:rsid w:val="00CC14E4"/>
    <w:rsid w:val="00CC1915"/>
    <w:rsid w:val="00CC1AC2"/>
    <w:rsid w:val="00CC1CBE"/>
    <w:rsid w:val="00CC1D5A"/>
    <w:rsid w:val="00CC1DBF"/>
    <w:rsid w:val="00CC2462"/>
    <w:rsid w:val="00CC2828"/>
    <w:rsid w:val="00CC2C70"/>
    <w:rsid w:val="00CC3384"/>
    <w:rsid w:val="00CC364B"/>
    <w:rsid w:val="00CC407B"/>
    <w:rsid w:val="00CC41E5"/>
    <w:rsid w:val="00CC421B"/>
    <w:rsid w:val="00CC47CC"/>
    <w:rsid w:val="00CC5812"/>
    <w:rsid w:val="00CC5DB5"/>
    <w:rsid w:val="00CC5F00"/>
    <w:rsid w:val="00CC6293"/>
    <w:rsid w:val="00CC6A10"/>
    <w:rsid w:val="00CC7009"/>
    <w:rsid w:val="00CC74C7"/>
    <w:rsid w:val="00CC75E7"/>
    <w:rsid w:val="00CC7779"/>
    <w:rsid w:val="00CC7784"/>
    <w:rsid w:val="00CC7B07"/>
    <w:rsid w:val="00CC7C91"/>
    <w:rsid w:val="00CD07A3"/>
    <w:rsid w:val="00CD0C03"/>
    <w:rsid w:val="00CD1241"/>
    <w:rsid w:val="00CD1574"/>
    <w:rsid w:val="00CD17CA"/>
    <w:rsid w:val="00CD1837"/>
    <w:rsid w:val="00CD1A92"/>
    <w:rsid w:val="00CD1C04"/>
    <w:rsid w:val="00CD1E87"/>
    <w:rsid w:val="00CD2393"/>
    <w:rsid w:val="00CD2487"/>
    <w:rsid w:val="00CD28D1"/>
    <w:rsid w:val="00CD2B1B"/>
    <w:rsid w:val="00CD2B52"/>
    <w:rsid w:val="00CD3F6D"/>
    <w:rsid w:val="00CD444F"/>
    <w:rsid w:val="00CD4B2C"/>
    <w:rsid w:val="00CD4CA9"/>
    <w:rsid w:val="00CD4E7F"/>
    <w:rsid w:val="00CD5B41"/>
    <w:rsid w:val="00CD62CA"/>
    <w:rsid w:val="00CD6FD0"/>
    <w:rsid w:val="00CD70D5"/>
    <w:rsid w:val="00CD710C"/>
    <w:rsid w:val="00CE0227"/>
    <w:rsid w:val="00CE024A"/>
    <w:rsid w:val="00CE03E2"/>
    <w:rsid w:val="00CE1483"/>
    <w:rsid w:val="00CE188A"/>
    <w:rsid w:val="00CE1A5B"/>
    <w:rsid w:val="00CE1DCA"/>
    <w:rsid w:val="00CE1E8A"/>
    <w:rsid w:val="00CE2100"/>
    <w:rsid w:val="00CE2D39"/>
    <w:rsid w:val="00CE36EF"/>
    <w:rsid w:val="00CE3AC7"/>
    <w:rsid w:val="00CE3D5D"/>
    <w:rsid w:val="00CE3F84"/>
    <w:rsid w:val="00CE4081"/>
    <w:rsid w:val="00CE4102"/>
    <w:rsid w:val="00CE43CC"/>
    <w:rsid w:val="00CE4D24"/>
    <w:rsid w:val="00CE4F15"/>
    <w:rsid w:val="00CE558B"/>
    <w:rsid w:val="00CE5670"/>
    <w:rsid w:val="00CE5F17"/>
    <w:rsid w:val="00CE5FC2"/>
    <w:rsid w:val="00CE6027"/>
    <w:rsid w:val="00CE60EB"/>
    <w:rsid w:val="00CE6451"/>
    <w:rsid w:val="00CE64F8"/>
    <w:rsid w:val="00CE6BBB"/>
    <w:rsid w:val="00CE72F8"/>
    <w:rsid w:val="00CE77A7"/>
    <w:rsid w:val="00CE7B56"/>
    <w:rsid w:val="00CE7F11"/>
    <w:rsid w:val="00CF1205"/>
    <w:rsid w:val="00CF16E7"/>
    <w:rsid w:val="00CF1875"/>
    <w:rsid w:val="00CF192B"/>
    <w:rsid w:val="00CF1A56"/>
    <w:rsid w:val="00CF23D4"/>
    <w:rsid w:val="00CF252B"/>
    <w:rsid w:val="00CF26E5"/>
    <w:rsid w:val="00CF287A"/>
    <w:rsid w:val="00CF2D52"/>
    <w:rsid w:val="00CF2F3E"/>
    <w:rsid w:val="00CF38F7"/>
    <w:rsid w:val="00CF3C63"/>
    <w:rsid w:val="00CF44AA"/>
    <w:rsid w:val="00CF4F9B"/>
    <w:rsid w:val="00CF500B"/>
    <w:rsid w:val="00CF5EDD"/>
    <w:rsid w:val="00CF5F06"/>
    <w:rsid w:val="00CF6117"/>
    <w:rsid w:val="00CF62B1"/>
    <w:rsid w:val="00CF678E"/>
    <w:rsid w:val="00CF7076"/>
    <w:rsid w:val="00CF7724"/>
    <w:rsid w:val="00CF7A56"/>
    <w:rsid w:val="00CF7B42"/>
    <w:rsid w:val="00CF7C58"/>
    <w:rsid w:val="00D00555"/>
    <w:rsid w:val="00D00E36"/>
    <w:rsid w:val="00D0115E"/>
    <w:rsid w:val="00D0137E"/>
    <w:rsid w:val="00D01740"/>
    <w:rsid w:val="00D01E00"/>
    <w:rsid w:val="00D0343C"/>
    <w:rsid w:val="00D03468"/>
    <w:rsid w:val="00D034C5"/>
    <w:rsid w:val="00D03800"/>
    <w:rsid w:val="00D0391C"/>
    <w:rsid w:val="00D03E8C"/>
    <w:rsid w:val="00D04C4A"/>
    <w:rsid w:val="00D05936"/>
    <w:rsid w:val="00D05F5C"/>
    <w:rsid w:val="00D0704F"/>
    <w:rsid w:val="00D075D2"/>
    <w:rsid w:val="00D07614"/>
    <w:rsid w:val="00D07882"/>
    <w:rsid w:val="00D07FB2"/>
    <w:rsid w:val="00D10644"/>
    <w:rsid w:val="00D1076B"/>
    <w:rsid w:val="00D10B6F"/>
    <w:rsid w:val="00D10C0B"/>
    <w:rsid w:val="00D10D3C"/>
    <w:rsid w:val="00D10EFF"/>
    <w:rsid w:val="00D10FFF"/>
    <w:rsid w:val="00D11AA9"/>
    <w:rsid w:val="00D12208"/>
    <w:rsid w:val="00D124BB"/>
    <w:rsid w:val="00D1283B"/>
    <w:rsid w:val="00D129BB"/>
    <w:rsid w:val="00D133A2"/>
    <w:rsid w:val="00D136D2"/>
    <w:rsid w:val="00D1388F"/>
    <w:rsid w:val="00D13A78"/>
    <w:rsid w:val="00D13DB1"/>
    <w:rsid w:val="00D13DEC"/>
    <w:rsid w:val="00D1407E"/>
    <w:rsid w:val="00D144D9"/>
    <w:rsid w:val="00D145EB"/>
    <w:rsid w:val="00D147A3"/>
    <w:rsid w:val="00D14A0A"/>
    <w:rsid w:val="00D14BF3"/>
    <w:rsid w:val="00D1508E"/>
    <w:rsid w:val="00D15489"/>
    <w:rsid w:val="00D15DD4"/>
    <w:rsid w:val="00D1602E"/>
    <w:rsid w:val="00D16AA9"/>
    <w:rsid w:val="00D20965"/>
    <w:rsid w:val="00D20BEB"/>
    <w:rsid w:val="00D20D84"/>
    <w:rsid w:val="00D21BD5"/>
    <w:rsid w:val="00D21C57"/>
    <w:rsid w:val="00D2244F"/>
    <w:rsid w:val="00D224A8"/>
    <w:rsid w:val="00D224F9"/>
    <w:rsid w:val="00D22A90"/>
    <w:rsid w:val="00D22C29"/>
    <w:rsid w:val="00D233EC"/>
    <w:rsid w:val="00D23895"/>
    <w:rsid w:val="00D23994"/>
    <w:rsid w:val="00D23AFE"/>
    <w:rsid w:val="00D23B6C"/>
    <w:rsid w:val="00D23E3E"/>
    <w:rsid w:val="00D24A22"/>
    <w:rsid w:val="00D24ADB"/>
    <w:rsid w:val="00D24CFA"/>
    <w:rsid w:val="00D250EE"/>
    <w:rsid w:val="00D254AF"/>
    <w:rsid w:val="00D254D2"/>
    <w:rsid w:val="00D261F0"/>
    <w:rsid w:val="00D267CE"/>
    <w:rsid w:val="00D2695D"/>
    <w:rsid w:val="00D26D7A"/>
    <w:rsid w:val="00D26F38"/>
    <w:rsid w:val="00D273D9"/>
    <w:rsid w:val="00D27B3B"/>
    <w:rsid w:val="00D27BBA"/>
    <w:rsid w:val="00D30192"/>
    <w:rsid w:val="00D3089E"/>
    <w:rsid w:val="00D30B4B"/>
    <w:rsid w:val="00D30D73"/>
    <w:rsid w:val="00D30DC2"/>
    <w:rsid w:val="00D31593"/>
    <w:rsid w:val="00D3193E"/>
    <w:rsid w:val="00D31C1D"/>
    <w:rsid w:val="00D3216A"/>
    <w:rsid w:val="00D32295"/>
    <w:rsid w:val="00D32C6F"/>
    <w:rsid w:val="00D33553"/>
    <w:rsid w:val="00D33708"/>
    <w:rsid w:val="00D337F2"/>
    <w:rsid w:val="00D33F57"/>
    <w:rsid w:val="00D342D9"/>
    <w:rsid w:val="00D342E5"/>
    <w:rsid w:val="00D344D3"/>
    <w:rsid w:val="00D345DB"/>
    <w:rsid w:val="00D34B0C"/>
    <w:rsid w:val="00D354AF"/>
    <w:rsid w:val="00D36522"/>
    <w:rsid w:val="00D3697A"/>
    <w:rsid w:val="00D3701B"/>
    <w:rsid w:val="00D3745B"/>
    <w:rsid w:val="00D3751C"/>
    <w:rsid w:val="00D3788C"/>
    <w:rsid w:val="00D37A16"/>
    <w:rsid w:val="00D37A67"/>
    <w:rsid w:val="00D37D55"/>
    <w:rsid w:val="00D40811"/>
    <w:rsid w:val="00D4109B"/>
    <w:rsid w:val="00D4188F"/>
    <w:rsid w:val="00D41966"/>
    <w:rsid w:val="00D41B46"/>
    <w:rsid w:val="00D41C79"/>
    <w:rsid w:val="00D41D65"/>
    <w:rsid w:val="00D42732"/>
    <w:rsid w:val="00D42B0F"/>
    <w:rsid w:val="00D4323E"/>
    <w:rsid w:val="00D4360C"/>
    <w:rsid w:val="00D43BEE"/>
    <w:rsid w:val="00D43F10"/>
    <w:rsid w:val="00D43FB5"/>
    <w:rsid w:val="00D43FF6"/>
    <w:rsid w:val="00D440CD"/>
    <w:rsid w:val="00D455DE"/>
    <w:rsid w:val="00D45B8E"/>
    <w:rsid w:val="00D466DB"/>
    <w:rsid w:val="00D4699B"/>
    <w:rsid w:val="00D47516"/>
    <w:rsid w:val="00D47A77"/>
    <w:rsid w:val="00D47C3D"/>
    <w:rsid w:val="00D47DD2"/>
    <w:rsid w:val="00D47ED6"/>
    <w:rsid w:val="00D5034E"/>
    <w:rsid w:val="00D50474"/>
    <w:rsid w:val="00D50509"/>
    <w:rsid w:val="00D50A70"/>
    <w:rsid w:val="00D50EBF"/>
    <w:rsid w:val="00D5112B"/>
    <w:rsid w:val="00D51516"/>
    <w:rsid w:val="00D515D3"/>
    <w:rsid w:val="00D517ED"/>
    <w:rsid w:val="00D5192C"/>
    <w:rsid w:val="00D5196B"/>
    <w:rsid w:val="00D52BE2"/>
    <w:rsid w:val="00D52E6F"/>
    <w:rsid w:val="00D530DA"/>
    <w:rsid w:val="00D534AF"/>
    <w:rsid w:val="00D53814"/>
    <w:rsid w:val="00D5429E"/>
    <w:rsid w:val="00D5519E"/>
    <w:rsid w:val="00D558BC"/>
    <w:rsid w:val="00D5647E"/>
    <w:rsid w:val="00D564E9"/>
    <w:rsid w:val="00D567EF"/>
    <w:rsid w:val="00D57607"/>
    <w:rsid w:val="00D577D9"/>
    <w:rsid w:val="00D577FD"/>
    <w:rsid w:val="00D57806"/>
    <w:rsid w:val="00D57BC0"/>
    <w:rsid w:val="00D6003F"/>
    <w:rsid w:val="00D60C37"/>
    <w:rsid w:val="00D611EC"/>
    <w:rsid w:val="00D61CBB"/>
    <w:rsid w:val="00D61D62"/>
    <w:rsid w:val="00D61F2A"/>
    <w:rsid w:val="00D623F9"/>
    <w:rsid w:val="00D625F8"/>
    <w:rsid w:val="00D629C6"/>
    <w:rsid w:val="00D62D05"/>
    <w:rsid w:val="00D632F8"/>
    <w:rsid w:val="00D635B6"/>
    <w:rsid w:val="00D636E5"/>
    <w:rsid w:val="00D63718"/>
    <w:rsid w:val="00D642C2"/>
    <w:rsid w:val="00D644CB"/>
    <w:rsid w:val="00D64E36"/>
    <w:rsid w:val="00D64F06"/>
    <w:rsid w:val="00D65428"/>
    <w:rsid w:val="00D65603"/>
    <w:rsid w:val="00D664EE"/>
    <w:rsid w:val="00D6676A"/>
    <w:rsid w:val="00D671CE"/>
    <w:rsid w:val="00D67AB0"/>
    <w:rsid w:val="00D703E3"/>
    <w:rsid w:val="00D7066A"/>
    <w:rsid w:val="00D70D5A"/>
    <w:rsid w:val="00D7131F"/>
    <w:rsid w:val="00D71728"/>
    <w:rsid w:val="00D71749"/>
    <w:rsid w:val="00D725E7"/>
    <w:rsid w:val="00D727FE"/>
    <w:rsid w:val="00D72A63"/>
    <w:rsid w:val="00D73B7A"/>
    <w:rsid w:val="00D7445F"/>
    <w:rsid w:val="00D74906"/>
    <w:rsid w:val="00D7555D"/>
    <w:rsid w:val="00D761CA"/>
    <w:rsid w:val="00D76572"/>
    <w:rsid w:val="00D76894"/>
    <w:rsid w:val="00D76F15"/>
    <w:rsid w:val="00D77092"/>
    <w:rsid w:val="00D77ED2"/>
    <w:rsid w:val="00D8007C"/>
    <w:rsid w:val="00D801B9"/>
    <w:rsid w:val="00D803C2"/>
    <w:rsid w:val="00D8054A"/>
    <w:rsid w:val="00D8082E"/>
    <w:rsid w:val="00D80A3A"/>
    <w:rsid w:val="00D80F74"/>
    <w:rsid w:val="00D81546"/>
    <w:rsid w:val="00D81DF6"/>
    <w:rsid w:val="00D82631"/>
    <w:rsid w:val="00D82C66"/>
    <w:rsid w:val="00D82D5A"/>
    <w:rsid w:val="00D82E16"/>
    <w:rsid w:val="00D8336C"/>
    <w:rsid w:val="00D83378"/>
    <w:rsid w:val="00D839A4"/>
    <w:rsid w:val="00D83C61"/>
    <w:rsid w:val="00D83E0D"/>
    <w:rsid w:val="00D8455E"/>
    <w:rsid w:val="00D8485C"/>
    <w:rsid w:val="00D84B02"/>
    <w:rsid w:val="00D84E3B"/>
    <w:rsid w:val="00D85006"/>
    <w:rsid w:val="00D85A72"/>
    <w:rsid w:val="00D85C7F"/>
    <w:rsid w:val="00D85D6F"/>
    <w:rsid w:val="00D861C6"/>
    <w:rsid w:val="00D86B58"/>
    <w:rsid w:val="00D9019F"/>
    <w:rsid w:val="00D90327"/>
    <w:rsid w:val="00D904EB"/>
    <w:rsid w:val="00D905E1"/>
    <w:rsid w:val="00D91ADA"/>
    <w:rsid w:val="00D91B58"/>
    <w:rsid w:val="00D91D3B"/>
    <w:rsid w:val="00D91F2D"/>
    <w:rsid w:val="00D922DB"/>
    <w:rsid w:val="00D92830"/>
    <w:rsid w:val="00D92872"/>
    <w:rsid w:val="00D92BDB"/>
    <w:rsid w:val="00D92CF9"/>
    <w:rsid w:val="00D9303E"/>
    <w:rsid w:val="00D93098"/>
    <w:rsid w:val="00D93136"/>
    <w:rsid w:val="00D9339B"/>
    <w:rsid w:val="00D93D65"/>
    <w:rsid w:val="00D93FED"/>
    <w:rsid w:val="00D94173"/>
    <w:rsid w:val="00D948CD"/>
    <w:rsid w:val="00D94D86"/>
    <w:rsid w:val="00D956F8"/>
    <w:rsid w:val="00D95CDE"/>
    <w:rsid w:val="00D96316"/>
    <w:rsid w:val="00D96696"/>
    <w:rsid w:val="00D966A8"/>
    <w:rsid w:val="00D96A85"/>
    <w:rsid w:val="00D96AB6"/>
    <w:rsid w:val="00D972D6"/>
    <w:rsid w:val="00D9738E"/>
    <w:rsid w:val="00D97CC9"/>
    <w:rsid w:val="00D97CE8"/>
    <w:rsid w:val="00DA01DF"/>
    <w:rsid w:val="00DA0331"/>
    <w:rsid w:val="00DA04B0"/>
    <w:rsid w:val="00DA0853"/>
    <w:rsid w:val="00DA1B0E"/>
    <w:rsid w:val="00DA1EAA"/>
    <w:rsid w:val="00DA1EE3"/>
    <w:rsid w:val="00DA2702"/>
    <w:rsid w:val="00DA272F"/>
    <w:rsid w:val="00DA3197"/>
    <w:rsid w:val="00DA3641"/>
    <w:rsid w:val="00DA38CD"/>
    <w:rsid w:val="00DA3A7E"/>
    <w:rsid w:val="00DA4C49"/>
    <w:rsid w:val="00DA4D8E"/>
    <w:rsid w:val="00DA5436"/>
    <w:rsid w:val="00DA5811"/>
    <w:rsid w:val="00DA583A"/>
    <w:rsid w:val="00DA597E"/>
    <w:rsid w:val="00DA5A95"/>
    <w:rsid w:val="00DA5B51"/>
    <w:rsid w:val="00DA5F60"/>
    <w:rsid w:val="00DA6734"/>
    <w:rsid w:val="00DA691F"/>
    <w:rsid w:val="00DA6A05"/>
    <w:rsid w:val="00DA6A58"/>
    <w:rsid w:val="00DA6B9C"/>
    <w:rsid w:val="00DA6EB4"/>
    <w:rsid w:val="00DA7090"/>
    <w:rsid w:val="00DA744E"/>
    <w:rsid w:val="00DA7A4D"/>
    <w:rsid w:val="00DA7D6B"/>
    <w:rsid w:val="00DA7EBA"/>
    <w:rsid w:val="00DB0595"/>
    <w:rsid w:val="00DB0FEF"/>
    <w:rsid w:val="00DB1012"/>
    <w:rsid w:val="00DB1034"/>
    <w:rsid w:val="00DB14C5"/>
    <w:rsid w:val="00DB1C68"/>
    <w:rsid w:val="00DB1EA7"/>
    <w:rsid w:val="00DB1FA1"/>
    <w:rsid w:val="00DB23C3"/>
    <w:rsid w:val="00DB25E2"/>
    <w:rsid w:val="00DB2628"/>
    <w:rsid w:val="00DB27C3"/>
    <w:rsid w:val="00DB29E2"/>
    <w:rsid w:val="00DB2C13"/>
    <w:rsid w:val="00DB2C76"/>
    <w:rsid w:val="00DB2E71"/>
    <w:rsid w:val="00DB3656"/>
    <w:rsid w:val="00DB37B1"/>
    <w:rsid w:val="00DB381B"/>
    <w:rsid w:val="00DB3B3E"/>
    <w:rsid w:val="00DB3B72"/>
    <w:rsid w:val="00DB3DC8"/>
    <w:rsid w:val="00DB5086"/>
    <w:rsid w:val="00DB52ED"/>
    <w:rsid w:val="00DB535D"/>
    <w:rsid w:val="00DB57D6"/>
    <w:rsid w:val="00DB5A50"/>
    <w:rsid w:val="00DB61BC"/>
    <w:rsid w:val="00DB648F"/>
    <w:rsid w:val="00DB6D16"/>
    <w:rsid w:val="00DB7449"/>
    <w:rsid w:val="00DB76F7"/>
    <w:rsid w:val="00DB7744"/>
    <w:rsid w:val="00DB7A75"/>
    <w:rsid w:val="00DB7C04"/>
    <w:rsid w:val="00DB7E94"/>
    <w:rsid w:val="00DC0631"/>
    <w:rsid w:val="00DC078A"/>
    <w:rsid w:val="00DC0BDC"/>
    <w:rsid w:val="00DC0EF5"/>
    <w:rsid w:val="00DC12F3"/>
    <w:rsid w:val="00DC21E3"/>
    <w:rsid w:val="00DC28B9"/>
    <w:rsid w:val="00DC2DB0"/>
    <w:rsid w:val="00DC2F95"/>
    <w:rsid w:val="00DC30F1"/>
    <w:rsid w:val="00DC3233"/>
    <w:rsid w:val="00DC375F"/>
    <w:rsid w:val="00DC462D"/>
    <w:rsid w:val="00DC4937"/>
    <w:rsid w:val="00DC4977"/>
    <w:rsid w:val="00DC4A42"/>
    <w:rsid w:val="00DC4CE2"/>
    <w:rsid w:val="00DC51CA"/>
    <w:rsid w:val="00DC59D8"/>
    <w:rsid w:val="00DC5FC2"/>
    <w:rsid w:val="00DC6197"/>
    <w:rsid w:val="00DC61FB"/>
    <w:rsid w:val="00DC6203"/>
    <w:rsid w:val="00DC62FD"/>
    <w:rsid w:val="00DC73FA"/>
    <w:rsid w:val="00DC7D6A"/>
    <w:rsid w:val="00DC7F1C"/>
    <w:rsid w:val="00DD06A2"/>
    <w:rsid w:val="00DD0948"/>
    <w:rsid w:val="00DD0B31"/>
    <w:rsid w:val="00DD0B4B"/>
    <w:rsid w:val="00DD1476"/>
    <w:rsid w:val="00DD163B"/>
    <w:rsid w:val="00DD16A2"/>
    <w:rsid w:val="00DD179E"/>
    <w:rsid w:val="00DD1C11"/>
    <w:rsid w:val="00DD1C52"/>
    <w:rsid w:val="00DD20FC"/>
    <w:rsid w:val="00DD2575"/>
    <w:rsid w:val="00DD2637"/>
    <w:rsid w:val="00DD267C"/>
    <w:rsid w:val="00DD2904"/>
    <w:rsid w:val="00DD2DAC"/>
    <w:rsid w:val="00DD2DC5"/>
    <w:rsid w:val="00DD2DFE"/>
    <w:rsid w:val="00DD38F0"/>
    <w:rsid w:val="00DD3AC2"/>
    <w:rsid w:val="00DD3B9F"/>
    <w:rsid w:val="00DD3C52"/>
    <w:rsid w:val="00DD3CEE"/>
    <w:rsid w:val="00DD3F71"/>
    <w:rsid w:val="00DD421A"/>
    <w:rsid w:val="00DD4572"/>
    <w:rsid w:val="00DD486F"/>
    <w:rsid w:val="00DD4935"/>
    <w:rsid w:val="00DD528C"/>
    <w:rsid w:val="00DD5640"/>
    <w:rsid w:val="00DD6B74"/>
    <w:rsid w:val="00DD6EB2"/>
    <w:rsid w:val="00DD7020"/>
    <w:rsid w:val="00DD7B87"/>
    <w:rsid w:val="00DD7DB1"/>
    <w:rsid w:val="00DE0B38"/>
    <w:rsid w:val="00DE0B9E"/>
    <w:rsid w:val="00DE0E9E"/>
    <w:rsid w:val="00DE1334"/>
    <w:rsid w:val="00DE155E"/>
    <w:rsid w:val="00DE16F3"/>
    <w:rsid w:val="00DE1761"/>
    <w:rsid w:val="00DE178C"/>
    <w:rsid w:val="00DE178F"/>
    <w:rsid w:val="00DE19B3"/>
    <w:rsid w:val="00DE265D"/>
    <w:rsid w:val="00DE27C5"/>
    <w:rsid w:val="00DE29C1"/>
    <w:rsid w:val="00DE30E2"/>
    <w:rsid w:val="00DE3F1D"/>
    <w:rsid w:val="00DE4153"/>
    <w:rsid w:val="00DE43FD"/>
    <w:rsid w:val="00DE4D45"/>
    <w:rsid w:val="00DE4D54"/>
    <w:rsid w:val="00DE535D"/>
    <w:rsid w:val="00DE67BA"/>
    <w:rsid w:val="00DE68A2"/>
    <w:rsid w:val="00DE69CB"/>
    <w:rsid w:val="00DE7310"/>
    <w:rsid w:val="00DE7956"/>
    <w:rsid w:val="00DE79D1"/>
    <w:rsid w:val="00DF02CC"/>
    <w:rsid w:val="00DF038E"/>
    <w:rsid w:val="00DF065E"/>
    <w:rsid w:val="00DF07EE"/>
    <w:rsid w:val="00DF0CF3"/>
    <w:rsid w:val="00DF0D4E"/>
    <w:rsid w:val="00DF1558"/>
    <w:rsid w:val="00DF1A8C"/>
    <w:rsid w:val="00DF27AC"/>
    <w:rsid w:val="00DF2829"/>
    <w:rsid w:val="00DF30D8"/>
    <w:rsid w:val="00DF3322"/>
    <w:rsid w:val="00DF340C"/>
    <w:rsid w:val="00DF3438"/>
    <w:rsid w:val="00DF346F"/>
    <w:rsid w:val="00DF3647"/>
    <w:rsid w:val="00DF4168"/>
    <w:rsid w:val="00DF4314"/>
    <w:rsid w:val="00DF4C1A"/>
    <w:rsid w:val="00DF5272"/>
    <w:rsid w:val="00DF54BA"/>
    <w:rsid w:val="00DF57C4"/>
    <w:rsid w:val="00DF61E2"/>
    <w:rsid w:val="00DF6B35"/>
    <w:rsid w:val="00DF6FE0"/>
    <w:rsid w:val="00DF7DAB"/>
    <w:rsid w:val="00E003D0"/>
    <w:rsid w:val="00E009D4"/>
    <w:rsid w:val="00E00D98"/>
    <w:rsid w:val="00E014F2"/>
    <w:rsid w:val="00E015CE"/>
    <w:rsid w:val="00E01AEA"/>
    <w:rsid w:val="00E01B2E"/>
    <w:rsid w:val="00E0294D"/>
    <w:rsid w:val="00E02EA8"/>
    <w:rsid w:val="00E0311F"/>
    <w:rsid w:val="00E0317B"/>
    <w:rsid w:val="00E03844"/>
    <w:rsid w:val="00E0454B"/>
    <w:rsid w:val="00E045EE"/>
    <w:rsid w:val="00E0530B"/>
    <w:rsid w:val="00E0556C"/>
    <w:rsid w:val="00E05D5B"/>
    <w:rsid w:val="00E06010"/>
    <w:rsid w:val="00E0606A"/>
    <w:rsid w:val="00E07032"/>
    <w:rsid w:val="00E072D2"/>
    <w:rsid w:val="00E073CF"/>
    <w:rsid w:val="00E07A78"/>
    <w:rsid w:val="00E07D25"/>
    <w:rsid w:val="00E07D35"/>
    <w:rsid w:val="00E07D37"/>
    <w:rsid w:val="00E07E69"/>
    <w:rsid w:val="00E1040C"/>
    <w:rsid w:val="00E1062B"/>
    <w:rsid w:val="00E106D2"/>
    <w:rsid w:val="00E1082F"/>
    <w:rsid w:val="00E10B8F"/>
    <w:rsid w:val="00E10EBA"/>
    <w:rsid w:val="00E1146A"/>
    <w:rsid w:val="00E118F8"/>
    <w:rsid w:val="00E11F2D"/>
    <w:rsid w:val="00E1258E"/>
    <w:rsid w:val="00E127DA"/>
    <w:rsid w:val="00E12F42"/>
    <w:rsid w:val="00E13B12"/>
    <w:rsid w:val="00E13B26"/>
    <w:rsid w:val="00E13E4C"/>
    <w:rsid w:val="00E14214"/>
    <w:rsid w:val="00E148CD"/>
    <w:rsid w:val="00E14A33"/>
    <w:rsid w:val="00E14C1D"/>
    <w:rsid w:val="00E14E98"/>
    <w:rsid w:val="00E15158"/>
    <w:rsid w:val="00E15307"/>
    <w:rsid w:val="00E155F2"/>
    <w:rsid w:val="00E15ED1"/>
    <w:rsid w:val="00E15EFB"/>
    <w:rsid w:val="00E1616D"/>
    <w:rsid w:val="00E16C6F"/>
    <w:rsid w:val="00E16EEC"/>
    <w:rsid w:val="00E172D0"/>
    <w:rsid w:val="00E17773"/>
    <w:rsid w:val="00E17E78"/>
    <w:rsid w:val="00E201DF"/>
    <w:rsid w:val="00E20AF0"/>
    <w:rsid w:val="00E20DC6"/>
    <w:rsid w:val="00E211BC"/>
    <w:rsid w:val="00E2133F"/>
    <w:rsid w:val="00E21565"/>
    <w:rsid w:val="00E21A5A"/>
    <w:rsid w:val="00E220AA"/>
    <w:rsid w:val="00E22225"/>
    <w:rsid w:val="00E223A9"/>
    <w:rsid w:val="00E2255C"/>
    <w:rsid w:val="00E233C4"/>
    <w:rsid w:val="00E236BB"/>
    <w:rsid w:val="00E23EDC"/>
    <w:rsid w:val="00E24408"/>
    <w:rsid w:val="00E2549C"/>
    <w:rsid w:val="00E25798"/>
    <w:rsid w:val="00E25B26"/>
    <w:rsid w:val="00E25B45"/>
    <w:rsid w:val="00E25D35"/>
    <w:rsid w:val="00E2612F"/>
    <w:rsid w:val="00E261AD"/>
    <w:rsid w:val="00E262DD"/>
    <w:rsid w:val="00E26698"/>
    <w:rsid w:val="00E26983"/>
    <w:rsid w:val="00E26AA7"/>
    <w:rsid w:val="00E26AEF"/>
    <w:rsid w:val="00E26B74"/>
    <w:rsid w:val="00E276F8"/>
    <w:rsid w:val="00E27753"/>
    <w:rsid w:val="00E2798E"/>
    <w:rsid w:val="00E301A8"/>
    <w:rsid w:val="00E30296"/>
    <w:rsid w:val="00E315FF"/>
    <w:rsid w:val="00E316E9"/>
    <w:rsid w:val="00E32464"/>
    <w:rsid w:val="00E32623"/>
    <w:rsid w:val="00E32781"/>
    <w:rsid w:val="00E32B64"/>
    <w:rsid w:val="00E32BF8"/>
    <w:rsid w:val="00E32E52"/>
    <w:rsid w:val="00E3464A"/>
    <w:rsid w:val="00E348B7"/>
    <w:rsid w:val="00E34E18"/>
    <w:rsid w:val="00E35003"/>
    <w:rsid w:val="00E353CD"/>
    <w:rsid w:val="00E35537"/>
    <w:rsid w:val="00E36D18"/>
    <w:rsid w:val="00E36E62"/>
    <w:rsid w:val="00E3799A"/>
    <w:rsid w:val="00E37CAC"/>
    <w:rsid w:val="00E407FC"/>
    <w:rsid w:val="00E40A08"/>
    <w:rsid w:val="00E40BD4"/>
    <w:rsid w:val="00E40F44"/>
    <w:rsid w:val="00E4123F"/>
    <w:rsid w:val="00E41C8F"/>
    <w:rsid w:val="00E41CCA"/>
    <w:rsid w:val="00E43132"/>
    <w:rsid w:val="00E431A5"/>
    <w:rsid w:val="00E4320D"/>
    <w:rsid w:val="00E439B9"/>
    <w:rsid w:val="00E43BD2"/>
    <w:rsid w:val="00E44032"/>
    <w:rsid w:val="00E440ED"/>
    <w:rsid w:val="00E44100"/>
    <w:rsid w:val="00E4423F"/>
    <w:rsid w:val="00E442AD"/>
    <w:rsid w:val="00E44FD7"/>
    <w:rsid w:val="00E45C83"/>
    <w:rsid w:val="00E460B1"/>
    <w:rsid w:val="00E460E9"/>
    <w:rsid w:val="00E460F6"/>
    <w:rsid w:val="00E46CA9"/>
    <w:rsid w:val="00E47303"/>
    <w:rsid w:val="00E4754D"/>
    <w:rsid w:val="00E47AED"/>
    <w:rsid w:val="00E506E7"/>
    <w:rsid w:val="00E507E4"/>
    <w:rsid w:val="00E50A9A"/>
    <w:rsid w:val="00E50AD7"/>
    <w:rsid w:val="00E50E8E"/>
    <w:rsid w:val="00E51B7E"/>
    <w:rsid w:val="00E51DB3"/>
    <w:rsid w:val="00E523A3"/>
    <w:rsid w:val="00E52753"/>
    <w:rsid w:val="00E529F0"/>
    <w:rsid w:val="00E52C85"/>
    <w:rsid w:val="00E52CB4"/>
    <w:rsid w:val="00E52CE0"/>
    <w:rsid w:val="00E53053"/>
    <w:rsid w:val="00E53187"/>
    <w:rsid w:val="00E54B48"/>
    <w:rsid w:val="00E54BC7"/>
    <w:rsid w:val="00E55889"/>
    <w:rsid w:val="00E561A0"/>
    <w:rsid w:val="00E56DAF"/>
    <w:rsid w:val="00E57196"/>
    <w:rsid w:val="00E574CD"/>
    <w:rsid w:val="00E60185"/>
    <w:rsid w:val="00E603AC"/>
    <w:rsid w:val="00E603D8"/>
    <w:rsid w:val="00E6056C"/>
    <w:rsid w:val="00E60F38"/>
    <w:rsid w:val="00E611A8"/>
    <w:rsid w:val="00E6132B"/>
    <w:rsid w:val="00E61954"/>
    <w:rsid w:val="00E620FB"/>
    <w:rsid w:val="00E6299C"/>
    <w:rsid w:val="00E62BBE"/>
    <w:rsid w:val="00E6328F"/>
    <w:rsid w:val="00E634AD"/>
    <w:rsid w:val="00E63C6B"/>
    <w:rsid w:val="00E64477"/>
    <w:rsid w:val="00E64792"/>
    <w:rsid w:val="00E6544F"/>
    <w:rsid w:val="00E65A16"/>
    <w:rsid w:val="00E65A4E"/>
    <w:rsid w:val="00E65E2A"/>
    <w:rsid w:val="00E65F43"/>
    <w:rsid w:val="00E66107"/>
    <w:rsid w:val="00E664D1"/>
    <w:rsid w:val="00E664FA"/>
    <w:rsid w:val="00E66923"/>
    <w:rsid w:val="00E66A74"/>
    <w:rsid w:val="00E66E68"/>
    <w:rsid w:val="00E671A3"/>
    <w:rsid w:val="00E676E0"/>
    <w:rsid w:val="00E67B11"/>
    <w:rsid w:val="00E67CBF"/>
    <w:rsid w:val="00E70095"/>
    <w:rsid w:val="00E700CD"/>
    <w:rsid w:val="00E70320"/>
    <w:rsid w:val="00E703CD"/>
    <w:rsid w:val="00E70A4F"/>
    <w:rsid w:val="00E70CD6"/>
    <w:rsid w:val="00E714D7"/>
    <w:rsid w:val="00E716AC"/>
    <w:rsid w:val="00E7222F"/>
    <w:rsid w:val="00E723A4"/>
    <w:rsid w:val="00E724A8"/>
    <w:rsid w:val="00E72B4C"/>
    <w:rsid w:val="00E72BD4"/>
    <w:rsid w:val="00E732F9"/>
    <w:rsid w:val="00E73337"/>
    <w:rsid w:val="00E73343"/>
    <w:rsid w:val="00E73A30"/>
    <w:rsid w:val="00E73C5E"/>
    <w:rsid w:val="00E73D00"/>
    <w:rsid w:val="00E74A84"/>
    <w:rsid w:val="00E74AE3"/>
    <w:rsid w:val="00E75007"/>
    <w:rsid w:val="00E75312"/>
    <w:rsid w:val="00E75BFF"/>
    <w:rsid w:val="00E76228"/>
    <w:rsid w:val="00E763E3"/>
    <w:rsid w:val="00E766E2"/>
    <w:rsid w:val="00E76721"/>
    <w:rsid w:val="00E778C5"/>
    <w:rsid w:val="00E8018C"/>
    <w:rsid w:val="00E801DF"/>
    <w:rsid w:val="00E80891"/>
    <w:rsid w:val="00E80F09"/>
    <w:rsid w:val="00E80F0E"/>
    <w:rsid w:val="00E813F0"/>
    <w:rsid w:val="00E81F1C"/>
    <w:rsid w:val="00E82519"/>
    <w:rsid w:val="00E82CD8"/>
    <w:rsid w:val="00E831F9"/>
    <w:rsid w:val="00E8337C"/>
    <w:rsid w:val="00E833F9"/>
    <w:rsid w:val="00E83707"/>
    <w:rsid w:val="00E83AC6"/>
    <w:rsid w:val="00E83F09"/>
    <w:rsid w:val="00E8416B"/>
    <w:rsid w:val="00E842B9"/>
    <w:rsid w:val="00E8447F"/>
    <w:rsid w:val="00E8485B"/>
    <w:rsid w:val="00E85179"/>
    <w:rsid w:val="00E857D6"/>
    <w:rsid w:val="00E8618D"/>
    <w:rsid w:val="00E86245"/>
    <w:rsid w:val="00E86318"/>
    <w:rsid w:val="00E8664C"/>
    <w:rsid w:val="00E868BF"/>
    <w:rsid w:val="00E86A5F"/>
    <w:rsid w:val="00E86D2F"/>
    <w:rsid w:val="00E86D3A"/>
    <w:rsid w:val="00E87133"/>
    <w:rsid w:val="00E875E1"/>
    <w:rsid w:val="00E8774A"/>
    <w:rsid w:val="00E87A37"/>
    <w:rsid w:val="00E900EB"/>
    <w:rsid w:val="00E90303"/>
    <w:rsid w:val="00E906A2"/>
    <w:rsid w:val="00E907A7"/>
    <w:rsid w:val="00E9082A"/>
    <w:rsid w:val="00E90C76"/>
    <w:rsid w:val="00E9108A"/>
    <w:rsid w:val="00E9113D"/>
    <w:rsid w:val="00E911F0"/>
    <w:rsid w:val="00E91445"/>
    <w:rsid w:val="00E915FD"/>
    <w:rsid w:val="00E92063"/>
    <w:rsid w:val="00E9224A"/>
    <w:rsid w:val="00E92B08"/>
    <w:rsid w:val="00E92B96"/>
    <w:rsid w:val="00E92FC7"/>
    <w:rsid w:val="00E93735"/>
    <w:rsid w:val="00E93975"/>
    <w:rsid w:val="00E93BE6"/>
    <w:rsid w:val="00E93C2D"/>
    <w:rsid w:val="00E945C9"/>
    <w:rsid w:val="00E94631"/>
    <w:rsid w:val="00E94FDF"/>
    <w:rsid w:val="00E95A7D"/>
    <w:rsid w:val="00E95F3C"/>
    <w:rsid w:val="00E95F9B"/>
    <w:rsid w:val="00E96CC2"/>
    <w:rsid w:val="00E97056"/>
    <w:rsid w:val="00E978BF"/>
    <w:rsid w:val="00EA0220"/>
    <w:rsid w:val="00EA054A"/>
    <w:rsid w:val="00EA1138"/>
    <w:rsid w:val="00EA1A35"/>
    <w:rsid w:val="00EA2065"/>
    <w:rsid w:val="00EA20DC"/>
    <w:rsid w:val="00EA22CD"/>
    <w:rsid w:val="00EA294B"/>
    <w:rsid w:val="00EA2D33"/>
    <w:rsid w:val="00EA2DC3"/>
    <w:rsid w:val="00EA34E2"/>
    <w:rsid w:val="00EA3B59"/>
    <w:rsid w:val="00EA40E4"/>
    <w:rsid w:val="00EA4EC3"/>
    <w:rsid w:val="00EA5296"/>
    <w:rsid w:val="00EA587C"/>
    <w:rsid w:val="00EA5985"/>
    <w:rsid w:val="00EA5F01"/>
    <w:rsid w:val="00EA5FEB"/>
    <w:rsid w:val="00EA6685"/>
    <w:rsid w:val="00EA6B68"/>
    <w:rsid w:val="00EA6C2B"/>
    <w:rsid w:val="00EA6D8E"/>
    <w:rsid w:val="00EA6FBD"/>
    <w:rsid w:val="00EA7237"/>
    <w:rsid w:val="00EB00E2"/>
    <w:rsid w:val="00EB0861"/>
    <w:rsid w:val="00EB1661"/>
    <w:rsid w:val="00EB17B2"/>
    <w:rsid w:val="00EB190A"/>
    <w:rsid w:val="00EB1B49"/>
    <w:rsid w:val="00EB1E03"/>
    <w:rsid w:val="00EB22E6"/>
    <w:rsid w:val="00EB2414"/>
    <w:rsid w:val="00EB2BBB"/>
    <w:rsid w:val="00EB302C"/>
    <w:rsid w:val="00EB340D"/>
    <w:rsid w:val="00EB3940"/>
    <w:rsid w:val="00EB3FB8"/>
    <w:rsid w:val="00EB4465"/>
    <w:rsid w:val="00EB4676"/>
    <w:rsid w:val="00EB48A2"/>
    <w:rsid w:val="00EB4D58"/>
    <w:rsid w:val="00EB56BE"/>
    <w:rsid w:val="00EB5B18"/>
    <w:rsid w:val="00EB5C93"/>
    <w:rsid w:val="00EB5D39"/>
    <w:rsid w:val="00EB5EF2"/>
    <w:rsid w:val="00EB6481"/>
    <w:rsid w:val="00EB6821"/>
    <w:rsid w:val="00EB6BF3"/>
    <w:rsid w:val="00EB6C82"/>
    <w:rsid w:val="00EB6CF1"/>
    <w:rsid w:val="00EB6EB6"/>
    <w:rsid w:val="00EB7053"/>
    <w:rsid w:val="00EB7504"/>
    <w:rsid w:val="00EB79C0"/>
    <w:rsid w:val="00EB7C77"/>
    <w:rsid w:val="00EC0CBE"/>
    <w:rsid w:val="00EC0D42"/>
    <w:rsid w:val="00EC0DDF"/>
    <w:rsid w:val="00EC0E4D"/>
    <w:rsid w:val="00EC12EB"/>
    <w:rsid w:val="00EC1604"/>
    <w:rsid w:val="00EC1B33"/>
    <w:rsid w:val="00EC1BFB"/>
    <w:rsid w:val="00EC1CE6"/>
    <w:rsid w:val="00EC2406"/>
    <w:rsid w:val="00EC27F0"/>
    <w:rsid w:val="00EC30C1"/>
    <w:rsid w:val="00EC4E4C"/>
    <w:rsid w:val="00EC4E8D"/>
    <w:rsid w:val="00EC51F3"/>
    <w:rsid w:val="00EC5346"/>
    <w:rsid w:val="00EC5878"/>
    <w:rsid w:val="00EC5BEF"/>
    <w:rsid w:val="00EC5EE5"/>
    <w:rsid w:val="00EC5F68"/>
    <w:rsid w:val="00EC644C"/>
    <w:rsid w:val="00EC7803"/>
    <w:rsid w:val="00EC788D"/>
    <w:rsid w:val="00EC7991"/>
    <w:rsid w:val="00EC7C73"/>
    <w:rsid w:val="00EC7DE3"/>
    <w:rsid w:val="00EC7DF8"/>
    <w:rsid w:val="00ED00BA"/>
    <w:rsid w:val="00ED0199"/>
    <w:rsid w:val="00ED01DE"/>
    <w:rsid w:val="00ED0424"/>
    <w:rsid w:val="00ED0A5F"/>
    <w:rsid w:val="00ED11EA"/>
    <w:rsid w:val="00ED1C46"/>
    <w:rsid w:val="00ED1FBE"/>
    <w:rsid w:val="00ED26F3"/>
    <w:rsid w:val="00ED296C"/>
    <w:rsid w:val="00ED2DFC"/>
    <w:rsid w:val="00ED3547"/>
    <w:rsid w:val="00ED3615"/>
    <w:rsid w:val="00ED40C1"/>
    <w:rsid w:val="00ED43C1"/>
    <w:rsid w:val="00ED4C0B"/>
    <w:rsid w:val="00ED4D18"/>
    <w:rsid w:val="00ED4ECC"/>
    <w:rsid w:val="00ED4F30"/>
    <w:rsid w:val="00ED51CC"/>
    <w:rsid w:val="00ED55D6"/>
    <w:rsid w:val="00ED5971"/>
    <w:rsid w:val="00ED5F34"/>
    <w:rsid w:val="00ED6075"/>
    <w:rsid w:val="00ED6111"/>
    <w:rsid w:val="00ED62D0"/>
    <w:rsid w:val="00ED63BC"/>
    <w:rsid w:val="00ED64FD"/>
    <w:rsid w:val="00ED6618"/>
    <w:rsid w:val="00ED665F"/>
    <w:rsid w:val="00ED66A2"/>
    <w:rsid w:val="00ED6FE3"/>
    <w:rsid w:val="00ED7854"/>
    <w:rsid w:val="00ED791F"/>
    <w:rsid w:val="00ED7AB5"/>
    <w:rsid w:val="00ED7BDD"/>
    <w:rsid w:val="00ED7D22"/>
    <w:rsid w:val="00EE0A1F"/>
    <w:rsid w:val="00EE114D"/>
    <w:rsid w:val="00EE1195"/>
    <w:rsid w:val="00EE12CA"/>
    <w:rsid w:val="00EE2FAE"/>
    <w:rsid w:val="00EE31A3"/>
    <w:rsid w:val="00EE3347"/>
    <w:rsid w:val="00EE3508"/>
    <w:rsid w:val="00EE3859"/>
    <w:rsid w:val="00EE387E"/>
    <w:rsid w:val="00EE3FA5"/>
    <w:rsid w:val="00EE51EC"/>
    <w:rsid w:val="00EE53AD"/>
    <w:rsid w:val="00EE5497"/>
    <w:rsid w:val="00EE5911"/>
    <w:rsid w:val="00EE5D9A"/>
    <w:rsid w:val="00EE5E1E"/>
    <w:rsid w:val="00EE63B7"/>
    <w:rsid w:val="00EE6824"/>
    <w:rsid w:val="00EE769D"/>
    <w:rsid w:val="00EE76CF"/>
    <w:rsid w:val="00EF08F3"/>
    <w:rsid w:val="00EF1308"/>
    <w:rsid w:val="00EF13E5"/>
    <w:rsid w:val="00EF1B65"/>
    <w:rsid w:val="00EF1B80"/>
    <w:rsid w:val="00EF25E5"/>
    <w:rsid w:val="00EF372B"/>
    <w:rsid w:val="00EF3BCD"/>
    <w:rsid w:val="00EF3C46"/>
    <w:rsid w:val="00EF3E7E"/>
    <w:rsid w:val="00EF3F4D"/>
    <w:rsid w:val="00EF4862"/>
    <w:rsid w:val="00EF4AA4"/>
    <w:rsid w:val="00EF4F9B"/>
    <w:rsid w:val="00EF515A"/>
    <w:rsid w:val="00EF562E"/>
    <w:rsid w:val="00EF5C14"/>
    <w:rsid w:val="00EF5E21"/>
    <w:rsid w:val="00EF6314"/>
    <w:rsid w:val="00EF6B00"/>
    <w:rsid w:val="00EF6DB3"/>
    <w:rsid w:val="00EF71C8"/>
    <w:rsid w:val="00EF7A6D"/>
    <w:rsid w:val="00F002C7"/>
    <w:rsid w:val="00F00B17"/>
    <w:rsid w:val="00F00ED1"/>
    <w:rsid w:val="00F00F28"/>
    <w:rsid w:val="00F0127D"/>
    <w:rsid w:val="00F012D9"/>
    <w:rsid w:val="00F01571"/>
    <w:rsid w:val="00F025A1"/>
    <w:rsid w:val="00F02B12"/>
    <w:rsid w:val="00F02D8A"/>
    <w:rsid w:val="00F03222"/>
    <w:rsid w:val="00F03494"/>
    <w:rsid w:val="00F036B4"/>
    <w:rsid w:val="00F03F5D"/>
    <w:rsid w:val="00F04D07"/>
    <w:rsid w:val="00F04ECF"/>
    <w:rsid w:val="00F0590A"/>
    <w:rsid w:val="00F061C4"/>
    <w:rsid w:val="00F06D0E"/>
    <w:rsid w:val="00F06D15"/>
    <w:rsid w:val="00F06D43"/>
    <w:rsid w:val="00F10BA1"/>
    <w:rsid w:val="00F10E62"/>
    <w:rsid w:val="00F10ECD"/>
    <w:rsid w:val="00F11475"/>
    <w:rsid w:val="00F117AE"/>
    <w:rsid w:val="00F11898"/>
    <w:rsid w:val="00F11C6E"/>
    <w:rsid w:val="00F11D28"/>
    <w:rsid w:val="00F11D5A"/>
    <w:rsid w:val="00F11F3D"/>
    <w:rsid w:val="00F12180"/>
    <w:rsid w:val="00F121B5"/>
    <w:rsid w:val="00F12353"/>
    <w:rsid w:val="00F123BD"/>
    <w:rsid w:val="00F12D3C"/>
    <w:rsid w:val="00F12DA3"/>
    <w:rsid w:val="00F13520"/>
    <w:rsid w:val="00F138F9"/>
    <w:rsid w:val="00F13BF1"/>
    <w:rsid w:val="00F1509D"/>
    <w:rsid w:val="00F158B5"/>
    <w:rsid w:val="00F1634C"/>
    <w:rsid w:val="00F1683B"/>
    <w:rsid w:val="00F1757D"/>
    <w:rsid w:val="00F1795B"/>
    <w:rsid w:val="00F17D7C"/>
    <w:rsid w:val="00F20668"/>
    <w:rsid w:val="00F20992"/>
    <w:rsid w:val="00F20E72"/>
    <w:rsid w:val="00F2126E"/>
    <w:rsid w:val="00F22065"/>
    <w:rsid w:val="00F221F8"/>
    <w:rsid w:val="00F2263C"/>
    <w:rsid w:val="00F23464"/>
    <w:rsid w:val="00F236FC"/>
    <w:rsid w:val="00F24056"/>
    <w:rsid w:val="00F24CCB"/>
    <w:rsid w:val="00F259D4"/>
    <w:rsid w:val="00F25FE1"/>
    <w:rsid w:val="00F264A4"/>
    <w:rsid w:val="00F2650E"/>
    <w:rsid w:val="00F26B6C"/>
    <w:rsid w:val="00F271AF"/>
    <w:rsid w:val="00F27212"/>
    <w:rsid w:val="00F27D1B"/>
    <w:rsid w:val="00F27DB8"/>
    <w:rsid w:val="00F301A2"/>
    <w:rsid w:val="00F304DE"/>
    <w:rsid w:val="00F3072D"/>
    <w:rsid w:val="00F30AEC"/>
    <w:rsid w:val="00F30DD1"/>
    <w:rsid w:val="00F31339"/>
    <w:rsid w:val="00F31AC0"/>
    <w:rsid w:val="00F329B7"/>
    <w:rsid w:val="00F32B74"/>
    <w:rsid w:val="00F32E95"/>
    <w:rsid w:val="00F32ED1"/>
    <w:rsid w:val="00F32F7C"/>
    <w:rsid w:val="00F3329B"/>
    <w:rsid w:val="00F33FBB"/>
    <w:rsid w:val="00F3409A"/>
    <w:rsid w:val="00F342BC"/>
    <w:rsid w:val="00F34900"/>
    <w:rsid w:val="00F34ACE"/>
    <w:rsid w:val="00F34AE1"/>
    <w:rsid w:val="00F34B22"/>
    <w:rsid w:val="00F350F1"/>
    <w:rsid w:val="00F352D0"/>
    <w:rsid w:val="00F35762"/>
    <w:rsid w:val="00F35B88"/>
    <w:rsid w:val="00F362DD"/>
    <w:rsid w:val="00F363D7"/>
    <w:rsid w:val="00F3681B"/>
    <w:rsid w:val="00F36BB2"/>
    <w:rsid w:val="00F37312"/>
    <w:rsid w:val="00F37354"/>
    <w:rsid w:val="00F37B5C"/>
    <w:rsid w:val="00F40115"/>
    <w:rsid w:val="00F40580"/>
    <w:rsid w:val="00F40773"/>
    <w:rsid w:val="00F40954"/>
    <w:rsid w:val="00F409CD"/>
    <w:rsid w:val="00F409DD"/>
    <w:rsid w:val="00F40CC8"/>
    <w:rsid w:val="00F41CF0"/>
    <w:rsid w:val="00F4202A"/>
    <w:rsid w:val="00F424FC"/>
    <w:rsid w:val="00F429BE"/>
    <w:rsid w:val="00F42AA4"/>
    <w:rsid w:val="00F42B36"/>
    <w:rsid w:val="00F42B52"/>
    <w:rsid w:val="00F42C94"/>
    <w:rsid w:val="00F43368"/>
    <w:rsid w:val="00F43C30"/>
    <w:rsid w:val="00F43E47"/>
    <w:rsid w:val="00F43F3C"/>
    <w:rsid w:val="00F44744"/>
    <w:rsid w:val="00F44A00"/>
    <w:rsid w:val="00F44CA5"/>
    <w:rsid w:val="00F45C5D"/>
    <w:rsid w:val="00F463B7"/>
    <w:rsid w:val="00F4672D"/>
    <w:rsid w:val="00F46B1B"/>
    <w:rsid w:val="00F47653"/>
    <w:rsid w:val="00F477CC"/>
    <w:rsid w:val="00F47A51"/>
    <w:rsid w:val="00F47B11"/>
    <w:rsid w:val="00F47D5A"/>
    <w:rsid w:val="00F500F2"/>
    <w:rsid w:val="00F50BD5"/>
    <w:rsid w:val="00F50CBB"/>
    <w:rsid w:val="00F50EC1"/>
    <w:rsid w:val="00F51987"/>
    <w:rsid w:val="00F51C72"/>
    <w:rsid w:val="00F521A5"/>
    <w:rsid w:val="00F52649"/>
    <w:rsid w:val="00F52796"/>
    <w:rsid w:val="00F531A6"/>
    <w:rsid w:val="00F53340"/>
    <w:rsid w:val="00F5376F"/>
    <w:rsid w:val="00F53C97"/>
    <w:rsid w:val="00F53ED4"/>
    <w:rsid w:val="00F54499"/>
    <w:rsid w:val="00F5483E"/>
    <w:rsid w:val="00F54CCB"/>
    <w:rsid w:val="00F54ED9"/>
    <w:rsid w:val="00F55A11"/>
    <w:rsid w:val="00F56538"/>
    <w:rsid w:val="00F569B0"/>
    <w:rsid w:val="00F56BA1"/>
    <w:rsid w:val="00F57065"/>
    <w:rsid w:val="00F5765B"/>
    <w:rsid w:val="00F577CD"/>
    <w:rsid w:val="00F57842"/>
    <w:rsid w:val="00F57F1F"/>
    <w:rsid w:val="00F60352"/>
    <w:rsid w:val="00F60443"/>
    <w:rsid w:val="00F61B99"/>
    <w:rsid w:val="00F61F0F"/>
    <w:rsid w:val="00F62293"/>
    <w:rsid w:val="00F623E6"/>
    <w:rsid w:val="00F62576"/>
    <w:rsid w:val="00F629E1"/>
    <w:rsid w:val="00F62BAA"/>
    <w:rsid w:val="00F62EF5"/>
    <w:rsid w:val="00F631A5"/>
    <w:rsid w:val="00F63311"/>
    <w:rsid w:val="00F63535"/>
    <w:rsid w:val="00F6374F"/>
    <w:rsid w:val="00F648AB"/>
    <w:rsid w:val="00F64CDA"/>
    <w:rsid w:val="00F651C4"/>
    <w:rsid w:val="00F656EB"/>
    <w:rsid w:val="00F65A6F"/>
    <w:rsid w:val="00F65E04"/>
    <w:rsid w:val="00F66270"/>
    <w:rsid w:val="00F671F2"/>
    <w:rsid w:val="00F675F2"/>
    <w:rsid w:val="00F678D4"/>
    <w:rsid w:val="00F67D71"/>
    <w:rsid w:val="00F707F6"/>
    <w:rsid w:val="00F71222"/>
    <w:rsid w:val="00F7152C"/>
    <w:rsid w:val="00F71C30"/>
    <w:rsid w:val="00F71FAB"/>
    <w:rsid w:val="00F723BF"/>
    <w:rsid w:val="00F72519"/>
    <w:rsid w:val="00F72BE6"/>
    <w:rsid w:val="00F72E22"/>
    <w:rsid w:val="00F734B9"/>
    <w:rsid w:val="00F7395B"/>
    <w:rsid w:val="00F73AC2"/>
    <w:rsid w:val="00F73EEE"/>
    <w:rsid w:val="00F74765"/>
    <w:rsid w:val="00F74779"/>
    <w:rsid w:val="00F74C3C"/>
    <w:rsid w:val="00F75179"/>
    <w:rsid w:val="00F7588F"/>
    <w:rsid w:val="00F762EB"/>
    <w:rsid w:val="00F764EE"/>
    <w:rsid w:val="00F76A53"/>
    <w:rsid w:val="00F76E04"/>
    <w:rsid w:val="00F77177"/>
    <w:rsid w:val="00F7717C"/>
    <w:rsid w:val="00F77A1E"/>
    <w:rsid w:val="00F77EEB"/>
    <w:rsid w:val="00F80D36"/>
    <w:rsid w:val="00F80F29"/>
    <w:rsid w:val="00F81684"/>
    <w:rsid w:val="00F81DCC"/>
    <w:rsid w:val="00F82FD8"/>
    <w:rsid w:val="00F8337D"/>
    <w:rsid w:val="00F839E3"/>
    <w:rsid w:val="00F83EB8"/>
    <w:rsid w:val="00F84631"/>
    <w:rsid w:val="00F8493D"/>
    <w:rsid w:val="00F84A7F"/>
    <w:rsid w:val="00F84E5A"/>
    <w:rsid w:val="00F85062"/>
    <w:rsid w:val="00F85431"/>
    <w:rsid w:val="00F8545C"/>
    <w:rsid w:val="00F85510"/>
    <w:rsid w:val="00F85B39"/>
    <w:rsid w:val="00F85B8C"/>
    <w:rsid w:val="00F85DD7"/>
    <w:rsid w:val="00F862A9"/>
    <w:rsid w:val="00F8668F"/>
    <w:rsid w:val="00F86868"/>
    <w:rsid w:val="00F871B1"/>
    <w:rsid w:val="00F87729"/>
    <w:rsid w:val="00F87CF8"/>
    <w:rsid w:val="00F87FFE"/>
    <w:rsid w:val="00F9015D"/>
    <w:rsid w:val="00F903ED"/>
    <w:rsid w:val="00F91191"/>
    <w:rsid w:val="00F92059"/>
    <w:rsid w:val="00F921E0"/>
    <w:rsid w:val="00F92C40"/>
    <w:rsid w:val="00F930C0"/>
    <w:rsid w:val="00F937A2"/>
    <w:rsid w:val="00F93D18"/>
    <w:rsid w:val="00F93DF8"/>
    <w:rsid w:val="00F94630"/>
    <w:rsid w:val="00F94768"/>
    <w:rsid w:val="00F94D85"/>
    <w:rsid w:val="00F95640"/>
    <w:rsid w:val="00F95A20"/>
    <w:rsid w:val="00F95A73"/>
    <w:rsid w:val="00F96468"/>
    <w:rsid w:val="00F96C64"/>
    <w:rsid w:val="00F96CB4"/>
    <w:rsid w:val="00F974BA"/>
    <w:rsid w:val="00F9762D"/>
    <w:rsid w:val="00F979D1"/>
    <w:rsid w:val="00F97A9B"/>
    <w:rsid w:val="00F97D55"/>
    <w:rsid w:val="00FA0047"/>
    <w:rsid w:val="00FA07FB"/>
    <w:rsid w:val="00FA0C8E"/>
    <w:rsid w:val="00FA10FE"/>
    <w:rsid w:val="00FA13FE"/>
    <w:rsid w:val="00FA17F2"/>
    <w:rsid w:val="00FA1A76"/>
    <w:rsid w:val="00FA1EBA"/>
    <w:rsid w:val="00FA1EEB"/>
    <w:rsid w:val="00FA243D"/>
    <w:rsid w:val="00FA2462"/>
    <w:rsid w:val="00FA25E9"/>
    <w:rsid w:val="00FA264F"/>
    <w:rsid w:val="00FA2916"/>
    <w:rsid w:val="00FA29FC"/>
    <w:rsid w:val="00FA2E4B"/>
    <w:rsid w:val="00FA3100"/>
    <w:rsid w:val="00FA3789"/>
    <w:rsid w:val="00FA3E18"/>
    <w:rsid w:val="00FA3F1D"/>
    <w:rsid w:val="00FA4885"/>
    <w:rsid w:val="00FA4A36"/>
    <w:rsid w:val="00FA4AD4"/>
    <w:rsid w:val="00FA4FA0"/>
    <w:rsid w:val="00FA5124"/>
    <w:rsid w:val="00FA57F8"/>
    <w:rsid w:val="00FA5D28"/>
    <w:rsid w:val="00FA5E16"/>
    <w:rsid w:val="00FA5E90"/>
    <w:rsid w:val="00FA5F9B"/>
    <w:rsid w:val="00FA607B"/>
    <w:rsid w:val="00FA6172"/>
    <w:rsid w:val="00FA61F5"/>
    <w:rsid w:val="00FA6318"/>
    <w:rsid w:val="00FA68F8"/>
    <w:rsid w:val="00FA6FD4"/>
    <w:rsid w:val="00FA730F"/>
    <w:rsid w:val="00FA7349"/>
    <w:rsid w:val="00FA78F9"/>
    <w:rsid w:val="00FA7970"/>
    <w:rsid w:val="00FA7A5E"/>
    <w:rsid w:val="00FA7FBA"/>
    <w:rsid w:val="00FB028E"/>
    <w:rsid w:val="00FB0372"/>
    <w:rsid w:val="00FB058C"/>
    <w:rsid w:val="00FB0593"/>
    <w:rsid w:val="00FB064B"/>
    <w:rsid w:val="00FB09DA"/>
    <w:rsid w:val="00FB0B0D"/>
    <w:rsid w:val="00FB0D5E"/>
    <w:rsid w:val="00FB19F9"/>
    <w:rsid w:val="00FB21E4"/>
    <w:rsid w:val="00FB22A5"/>
    <w:rsid w:val="00FB252D"/>
    <w:rsid w:val="00FB263E"/>
    <w:rsid w:val="00FB2C2E"/>
    <w:rsid w:val="00FB3918"/>
    <w:rsid w:val="00FB3B59"/>
    <w:rsid w:val="00FB436A"/>
    <w:rsid w:val="00FB4E83"/>
    <w:rsid w:val="00FB4EAB"/>
    <w:rsid w:val="00FB51B0"/>
    <w:rsid w:val="00FB5A26"/>
    <w:rsid w:val="00FB5DCF"/>
    <w:rsid w:val="00FB5FDE"/>
    <w:rsid w:val="00FB608F"/>
    <w:rsid w:val="00FB609B"/>
    <w:rsid w:val="00FB640F"/>
    <w:rsid w:val="00FB660D"/>
    <w:rsid w:val="00FB666A"/>
    <w:rsid w:val="00FB7260"/>
    <w:rsid w:val="00FB733D"/>
    <w:rsid w:val="00FB73EC"/>
    <w:rsid w:val="00FB76F2"/>
    <w:rsid w:val="00FC00D4"/>
    <w:rsid w:val="00FC0ACF"/>
    <w:rsid w:val="00FC0AFB"/>
    <w:rsid w:val="00FC1118"/>
    <w:rsid w:val="00FC179B"/>
    <w:rsid w:val="00FC1867"/>
    <w:rsid w:val="00FC1A48"/>
    <w:rsid w:val="00FC1BD8"/>
    <w:rsid w:val="00FC1F3A"/>
    <w:rsid w:val="00FC219F"/>
    <w:rsid w:val="00FC3799"/>
    <w:rsid w:val="00FC3B0C"/>
    <w:rsid w:val="00FC3C7D"/>
    <w:rsid w:val="00FC3FB4"/>
    <w:rsid w:val="00FC4CE5"/>
    <w:rsid w:val="00FC4DDA"/>
    <w:rsid w:val="00FC53D5"/>
    <w:rsid w:val="00FC53F3"/>
    <w:rsid w:val="00FC56E5"/>
    <w:rsid w:val="00FC5DA6"/>
    <w:rsid w:val="00FC605E"/>
    <w:rsid w:val="00FC63F9"/>
    <w:rsid w:val="00FC68E8"/>
    <w:rsid w:val="00FC748C"/>
    <w:rsid w:val="00FC7F38"/>
    <w:rsid w:val="00FD0314"/>
    <w:rsid w:val="00FD03DA"/>
    <w:rsid w:val="00FD0696"/>
    <w:rsid w:val="00FD0A93"/>
    <w:rsid w:val="00FD0D70"/>
    <w:rsid w:val="00FD1404"/>
    <w:rsid w:val="00FD37EA"/>
    <w:rsid w:val="00FD3855"/>
    <w:rsid w:val="00FD38E2"/>
    <w:rsid w:val="00FD3F46"/>
    <w:rsid w:val="00FD3FA8"/>
    <w:rsid w:val="00FD3FBC"/>
    <w:rsid w:val="00FD414E"/>
    <w:rsid w:val="00FD4444"/>
    <w:rsid w:val="00FD451B"/>
    <w:rsid w:val="00FD4EA3"/>
    <w:rsid w:val="00FD4ED2"/>
    <w:rsid w:val="00FD5167"/>
    <w:rsid w:val="00FD52F0"/>
    <w:rsid w:val="00FD53AC"/>
    <w:rsid w:val="00FD5714"/>
    <w:rsid w:val="00FD5791"/>
    <w:rsid w:val="00FD583F"/>
    <w:rsid w:val="00FD5841"/>
    <w:rsid w:val="00FD5B00"/>
    <w:rsid w:val="00FD7DA7"/>
    <w:rsid w:val="00FE00B5"/>
    <w:rsid w:val="00FE0938"/>
    <w:rsid w:val="00FE1CAF"/>
    <w:rsid w:val="00FE240B"/>
    <w:rsid w:val="00FE25A4"/>
    <w:rsid w:val="00FE2629"/>
    <w:rsid w:val="00FE29F1"/>
    <w:rsid w:val="00FE2A00"/>
    <w:rsid w:val="00FE2C28"/>
    <w:rsid w:val="00FE2F5F"/>
    <w:rsid w:val="00FE3049"/>
    <w:rsid w:val="00FE3254"/>
    <w:rsid w:val="00FE334E"/>
    <w:rsid w:val="00FE3383"/>
    <w:rsid w:val="00FE346D"/>
    <w:rsid w:val="00FE41C1"/>
    <w:rsid w:val="00FE4733"/>
    <w:rsid w:val="00FE4E3D"/>
    <w:rsid w:val="00FE4F0B"/>
    <w:rsid w:val="00FE528D"/>
    <w:rsid w:val="00FE5CA8"/>
    <w:rsid w:val="00FE5FCC"/>
    <w:rsid w:val="00FE5FF7"/>
    <w:rsid w:val="00FE6804"/>
    <w:rsid w:val="00FE7A61"/>
    <w:rsid w:val="00FE7F37"/>
    <w:rsid w:val="00FF00BA"/>
    <w:rsid w:val="00FF0353"/>
    <w:rsid w:val="00FF05F5"/>
    <w:rsid w:val="00FF07AB"/>
    <w:rsid w:val="00FF089E"/>
    <w:rsid w:val="00FF1791"/>
    <w:rsid w:val="00FF17E3"/>
    <w:rsid w:val="00FF1BD2"/>
    <w:rsid w:val="00FF30B2"/>
    <w:rsid w:val="00FF36A4"/>
    <w:rsid w:val="00FF4755"/>
    <w:rsid w:val="00FF53A5"/>
    <w:rsid w:val="00FF59B0"/>
    <w:rsid w:val="00FF5DEA"/>
    <w:rsid w:val="00FF61D3"/>
    <w:rsid w:val="00FF69C2"/>
    <w:rsid w:val="00FF6DAE"/>
    <w:rsid w:val="00FF6E18"/>
    <w:rsid w:val="00FF7117"/>
    <w:rsid w:val="00FF7399"/>
    <w:rsid w:val="00FF74FE"/>
    <w:rsid w:val="00FF750E"/>
    <w:rsid w:val="00FF7A68"/>
    <w:rsid w:val="5422F1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E914FB"/>
  <w15:chartTrackingRefBased/>
  <w15:docId w15:val="{12CEC5F8-5F4B-410D-B918-967B4077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B6E"/>
    <w:rPr>
      <w:lang w:val="en-US" w:eastAsia="en-US"/>
    </w:rPr>
  </w:style>
  <w:style w:type="paragraph" w:styleId="Heading1">
    <w:name w:val="heading 1"/>
    <w:basedOn w:val="Normal"/>
    <w:next w:val="Normal"/>
    <w:link w:val="Heading1Char"/>
    <w:qFormat/>
    <w:rsid w:val="008B5F64"/>
    <w:pPr>
      <w:keepNext/>
      <w:spacing w:before="120"/>
      <w:jc w:val="center"/>
      <w:outlineLvl w:val="0"/>
    </w:pPr>
    <w:rPr>
      <w:rFonts w:ascii="Arial" w:hAnsi="Arial"/>
      <w:b/>
      <w:sz w:val="28"/>
    </w:rPr>
  </w:style>
  <w:style w:type="paragraph" w:styleId="Heading2">
    <w:name w:val="heading 2"/>
    <w:basedOn w:val="Normal"/>
    <w:next w:val="Normal"/>
    <w:qFormat/>
    <w:rsid w:val="008B5F64"/>
    <w:pPr>
      <w:keepNext/>
      <w:spacing w:before="120"/>
      <w:jc w:val="center"/>
      <w:outlineLvl w:val="1"/>
    </w:pPr>
    <w:rPr>
      <w:rFonts w:ascii="Arial" w:hAnsi="Arial"/>
      <w:b/>
      <w:sz w:val="16"/>
    </w:rPr>
  </w:style>
  <w:style w:type="paragraph" w:styleId="Heading3">
    <w:name w:val="heading 3"/>
    <w:basedOn w:val="Normal"/>
    <w:next w:val="Normal"/>
    <w:qFormat/>
    <w:rsid w:val="008B5F64"/>
    <w:pPr>
      <w:keepNext/>
      <w:spacing w:before="120"/>
      <w:jc w:val="both"/>
      <w:outlineLvl w:val="2"/>
    </w:pPr>
    <w:rPr>
      <w:rFonts w:ascii="Arial" w:hAnsi="Arial"/>
      <w:b/>
      <w:sz w:val="14"/>
    </w:rPr>
  </w:style>
  <w:style w:type="paragraph" w:styleId="Heading4">
    <w:name w:val="heading 4"/>
    <w:basedOn w:val="Normal"/>
    <w:next w:val="Normal"/>
    <w:qFormat/>
    <w:rsid w:val="008B5F64"/>
    <w:pPr>
      <w:keepNext/>
      <w:spacing w:before="120"/>
      <w:jc w:val="center"/>
      <w:outlineLvl w:val="3"/>
    </w:pPr>
    <w:rPr>
      <w:rFonts w:ascii="Arial" w:hAnsi="Arial"/>
      <w:b/>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F64"/>
    <w:pPr>
      <w:tabs>
        <w:tab w:val="center" w:pos="4320"/>
        <w:tab w:val="right" w:pos="8640"/>
      </w:tabs>
    </w:pPr>
  </w:style>
  <w:style w:type="character" w:styleId="Hyperlink">
    <w:name w:val="Hyperlink"/>
    <w:uiPriority w:val="99"/>
    <w:rsid w:val="008B5F64"/>
    <w:rPr>
      <w:color w:val="0000FF"/>
      <w:u w:val="single"/>
    </w:rPr>
  </w:style>
  <w:style w:type="paragraph" w:styleId="BodyText">
    <w:name w:val="Body Text"/>
    <w:basedOn w:val="Normal"/>
    <w:rsid w:val="008B5F64"/>
    <w:rPr>
      <w:rFonts w:ascii="Garamond" w:hAnsi="Garamond"/>
      <w:lang w:val="nb-NO"/>
    </w:rPr>
  </w:style>
  <w:style w:type="paragraph" w:customStyle="1" w:styleId="PEPTopic">
    <w:name w:val="PEP Topic"/>
    <w:basedOn w:val="Normal"/>
    <w:rsid w:val="007E708A"/>
    <w:pPr>
      <w:spacing w:before="240"/>
      <w:ind w:left="720"/>
      <w:jc w:val="both"/>
    </w:pPr>
    <w:rPr>
      <w:rFonts w:ascii="Arial" w:hAnsi="Arial"/>
      <w:b/>
      <w:sz w:val="24"/>
    </w:rPr>
  </w:style>
  <w:style w:type="paragraph" w:styleId="Footer">
    <w:name w:val="footer"/>
    <w:basedOn w:val="Normal"/>
    <w:link w:val="FooterChar"/>
    <w:uiPriority w:val="99"/>
    <w:rsid w:val="00711FC7"/>
    <w:pPr>
      <w:tabs>
        <w:tab w:val="center" w:pos="4320"/>
        <w:tab w:val="right" w:pos="8640"/>
      </w:tabs>
    </w:pPr>
    <w:rPr>
      <w:sz w:val="24"/>
      <w:szCs w:val="24"/>
    </w:rPr>
  </w:style>
  <w:style w:type="character" w:styleId="PageNumber">
    <w:name w:val="page number"/>
    <w:basedOn w:val="DefaultParagraphFont"/>
    <w:rsid w:val="00711FC7"/>
  </w:style>
  <w:style w:type="paragraph" w:styleId="BodyTextIndent2">
    <w:name w:val="Body Text Indent 2"/>
    <w:basedOn w:val="Normal"/>
    <w:rsid w:val="000961AD"/>
    <w:pPr>
      <w:spacing w:after="120" w:line="480" w:lineRule="auto"/>
      <w:ind w:left="360"/>
    </w:pPr>
  </w:style>
  <w:style w:type="paragraph" w:styleId="BodyTextIndent">
    <w:name w:val="Body Text Indent"/>
    <w:basedOn w:val="Normal"/>
    <w:rsid w:val="00111F52"/>
    <w:pPr>
      <w:spacing w:after="120"/>
      <w:ind w:left="360"/>
    </w:pPr>
  </w:style>
  <w:style w:type="table" w:styleId="TableGrid">
    <w:name w:val="Table Grid"/>
    <w:basedOn w:val="TableNormal"/>
    <w:uiPriority w:val="59"/>
    <w:rsid w:val="0094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E3B1C"/>
    <w:rPr>
      <w:color w:val="606420"/>
      <w:u w:val="single"/>
    </w:rPr>
  </w:style>
  <w:style w:type="character" w:customStyle="1" w:styleId="A2">
    <w:name w:val="A2"/>
    <w:uiPriority w:val="99"/>
    <w:rsid w:val="00611EA3"/>
    <w:rPr>
      <w:rFonts w:cs="Helvetica 45 Light"/>
      <w:color w:val="000000"/>
      <w:sz w:val="20"/>
      <w:szCs w:val="20"/>
    </w:rPr>
  </w:style>
  <w:style w:type="paragraph" w:customStyle="1" w:styleId="Pa7">
    <w:name w:val="Pa7"/>
    <w:basedOn w:val="Normal"/>
    <w:next w:val="Normal"/>
    <w:uiPriority w:val="99"/>
    <w:rsid w:val="007F787A"/>
    <w:pPr>
      <w:autoSpaceDE w:val="0"/>
      <w:autoSpaceDN w:val="0"/>
      <w:adjustRightInd w:val="0"/>
      <w:spacing w:line="261" w:lineRule="atLeast"/>
    </w:pPr>
    <w:rPr>
      <w:rFonts w:ascii="Helvetica 45 Light" w:hAnsi="Helvetica 45 Light"/>
      <w:sz w:val="24"/>
      <w:szCs w:val="24"/>
      <w:lang w:val="en-GB" w:eastAsia="en-GB"/>
    </w:rPr>
  </w:style>
  <w:style w:type="paragraph" w:customStyle="1" w:styleId="Pa8">
    <w:name w:val="Pa8"/>
    <w:basedOn w:val="Normal"/>
    <w:next w:val="Normal"/>
    <w:uiPriority w:val="99"/>
    <w:rsid w:val="007F787A"/>
    <w:pPr>
      <w:autoSpaceDE w:val="0"/>
      <w:autoSpaceDN w:val="0"/>
      <w:adjustRightInd w:val="0"/>
      <w:spacing w:line="181" w:lineRule="atLeast"/>
    </w:pPr>
    <w:rPr>
      <w:rFonts w:ascii="Helvetica 45 Light" w:hAnsi="Helvetica 45 Light"/>
      <w:sz w:val="24"/>
      <w:szCs w:val="24"/>
      <w:lang w:val="en-GB" w:eastAsia="en-GB"/>
    </w:rPr>
  </w:style>
  <w:style w:type="paragraph" w:styleId="TOCHeading">
    <w:name w:val="TOC Heading"/>
    <w:basedOn w:val="Heading1"/>
    <w:next w:val="Normal"/>
    <w:uiPriority w:val="39"/>
    <w:semiHidden/>
    <w:unhideWhenUsed/>
    <w:qFormat/>
    <w:rsid w:val="00A1421F"/>
    <w:pPr>
      <w:keepLines/>
      <w:spacing w:before="48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343DEE"/>
    <w:pPr>
      <w:tabs>
        <w:tab w:val="left" w:pos="440"/>
        <w:tab w:val="right" w:leader="dot" w:pos="8296"/>
      </w:tabs>
      <w:spacing w:before="240" w:after="240"/>
    </w:pPr>
  </w:style>
  <w:style w:type="paragraph" w:styleId="NormalWeb">
    <w:name w:val="Normal (Web)"/>
    <w:basedOn w:val="Normal"/>
    <w:uiPriority w:val="99"/>
    <w:unhideWhenUsed/>
    <w:rsid w:val="00AB665B"/>
    <w:pPr>
      <w:spacing w:before="100" w:beforeAutospacing="1" w:after="100" w:afterAutospacing="1"/>
    </w:pPr>
    <w:rPr>
      <w:sz w:val="24"/>
      <w:szCs w:val="24"/>
      <w:lang w:val="en-GB" w:eastAsia="en-GB"/>
    </w:rPr>
  </w:style>
  <w:style w:type="paragraph" w:styleId="BalloonText">
    <w:name w:val="Balloon Text"/>
    <w:basedOn w:val="Normal"/>
    <w:link w:val="BalloonTextChar"/>
    <w:rsid w:val="00571CC9"/>
    <w:rPr>
      <w:rFonts w:ascii="Tahoma" w:hAnsi="Tahoma" w:cs="Tahoma"/>
      <w:sz w:val="16"/>
      <w:szCs w:val="16"/>
    </w:rPr>
  </w:style>
  <w:style w:type="character" w:customStyle="1" w:styleId="BalloonTextChar">
    <w:name w:val="Balloon Text Char"/>
    <w:link w:val="BalloonText"/>
    <w:rsid w:val="00571CC9"/>
    <w:rPr>
      <w:rFonts w:ascii="Tahoma" w:hAnsi="Tahoma" w:cs="Tahoma"/>
      <w:sz w:val="16"/>
      <w:szCs w:val="16"/>
      <w:lang w:val="en-US" w:eastAsia="en-US"/>
    </w:rPr>
  </w:style>
  <w:style w:type="paragraph" w:styleId="ListParagraph">
    <w:name w:val="List Paragraph"/>
    <w:basedOn w:val="Normal"/>
    <w:uiPriority w:val="34"/>
    <w:qFormat/>
    <w:rsid w:val="00A04DBD"/>
    <w:pPr>
      <w:ind w:left="720"/>
      <w:contextualSpacing/>
    </w:pPr>
    <w:rPr>
      <w:sz w:val="24"/>
      <w:szCs w:val="24"/>
      <w:lang w:val="en-GB" w:eastAsia="en-GB"/>
    </w:rPr>
  </w:style>
  <w:style w:type="character" w:customStyle="1" w:styleId="FooterChar">
    <w:name w:val="Footer Char"/>
    <w:link w:val="Footer"/>
    <w:uiPriority w:val="99"/>
    <w:rsid w:val="006949E8"/>
    <w:rPr>
      <w:sz w:val="24"/>
      <w:szCs w:val="24"/>
      <w:lang w:val="en-US" w:eastAsia="en-US"/>
    </w:rPr>
  </w:style>
  <w:style w:type="character" w:styleId="CommentReference">
    <w:name w:val="annotation reference"/>
    <w:uiPriority w:val="99"/>
    <w:rsid w:val="001C5D07"/>
    <w:rPr>
      <w:sz w:val="16"/>
      <w:szCs w:val="16"/>
    </w:rPr>
  </w:style>
  <w:style w:type="paragraph" w:styleId="CommentText">
    <w:name w:val="annotation text"/>
    <w:basedOn w:val="Normal"/>
    <w:link w:val="CommentTextChar"/>
    <w:uiPriority w:val="99"/>
    <w:rsid w:val="001C5D07"/>
  </w:style>
  <w:style w:type="character" w:customStyle="1" w:styleId="CommentTextChar">
    <w:name w:val="Comment Text Char"/>
    <w:link w:val="CommentText"/>
    <w:uiPriority w:val="99"/>
    <w:rsid w:val="001C5D07"/>
    <w:rPr>
      <w:lang w:val="en-US" w:eastAsia="en-US"/>
    </w:rPr>
  </w:style>
  <w:style w:type="paragraph" w:styleId="CommentSubject">
    <w:name w:val="annotation subject"/>
    <w:basedOn w:val="CommentText"/>
    <w:next w:val="CommentText"/>
    <w:link w:val="CommentSubjectChar"/>
    <w:rsid w:val="001C5D07"/>
    <w:rPr>
      <w:b/>
      <w:bCs/>
    </w:rPr>
  </w:style>
  <w:style w:type="character" w:customStyle="1" w:styleId="CommentSubjectChar">
    <w:name w:val="Comment Subject Char"/>
    <w:link w:val="CommentSubject"/>
    <w:rsid w:val="001C5D07"/>
    <w:rPr>
      <w:b/>
      <w:bCs/>
      <w:lang w:val="en-US" w:eastAsia="en-US"/>
    </w:rPr>
  </w:style>
  <w:style w:type="character" w:customStyle="1" w:styleId="Heading1Char">
    <w:name w:val="Heading 1 Char"/>
    <w:link w:val="Heading1"/>
    <w:rsid w:val="00454DC0"/>
    <w:rPr>
      <w:rFonts w:ascii="Arial" w:hAnsi="Arial"/>
      <w:b/>
      <w:sz w:val="28"/>
      <w:lang w:val="en-US" w:eastAsia="en-US"/>
    </w:rPr>
  </w:style>
  <w:style w:type="paragraph" w:styleId="Revision">
    <w:name w:val="Revision"/>
    <w:hidden/>
    <w:uiPriority w:val="99"/>
    <w:semiHidden/>
    <w:rsid w:val="00D32C6F"/>
    <w:rPr>
      <w:lang w:val="en-US" w:eastAsia="en-US"/>
    </w:rPr>
  </w:style>
  <w:style w:type="paragraph" w:styleId="EndnoteText">
    <w:name w:val="endnote text"/>
    <w:basedOn w:val="Normal"/>
    <w:link w:val="EndnoteTextChar"/>
    <w:rsid w:val="00EF6314"/>
  </w:style>
  <w:style w:type="character" w:customStyle="1" w:styleId="EndnoteTextChar">
    <w:name w:val="Endnote Text Char"/>
    <w:link w:val="EndnoteText"/>
    <w:rsid w:val="00EF6314"/>
    <w:rPr>
      <w:lang w:val="en-US" w:eastAsia="en-US"/>
    </w:rPr>
  </w:style>
  <w:style w:type="character" w:styleId="EndnoteReference">
    <w:name w:val="endnote reference"/>
    <w:rsid w:val="00EF6314"/>
    <w:rPr>
      <w:vertAlign w:val="superscript"/>
    </w:rPr>
  </w:style>
  <w:style w:type="paragraph" w:styleId="FootnoteText">
    <w:name w:val="footnote text"/>
    <w:basedOn w:val="Normal"/>
    <w:link w:val="FootnoteTextChar"/>
    <w:rsid w:val="00EF6314"/>
  </w:style>
  <w:style w:type="character" w:customStyle="1" w:styleId="FootnoteTextChar">
    <w:name w:val="Footnote Text Char"/>
    <w:link w:val="FootnoteText"/>
    <w:rsid w:val="00EF6314"/>
    <w:rPr>
      <w:lang w:val="en-US" w:eastAsia="en-US"/>
    </w:rPr>
  </w:style>
  <w:style w:type="character" w:styleId="FootnoteReference">
    <w:name w:val="footnote reference"/>
    <w:rsid w:val="00EF6314"/>
    <w:rPr>
      <w:vertAlign w:val="superscript"/>
    </w:rPr>
  </w:style>
  <w:style w:type="character" w:styleId="UnresolvedMention">
    <w:name w:val="Unresolved Mention"/>
    <w:uiPriority w:val="99"/>
    <w:unhideWhenUsed/>
    <w:rsid w:val="003C1F1D"/>
    <w:rPr>
      <w:color w:val="808080"/>
      <w:shd w:val="clear" w:color="auto" w:fill="E6E6E6"/>
    </w:rPr>
  </w:style>
  <w:style w:type="character" w:styleId="Mention">
    <w:name w:val="Mention"/>
    <w:basedOn w:val="DefaultParagraphFont"/>
    <w:uiPriority w:val="99"/>
    <w:unhideWhenUsed/>
    <w:rsid w:val="002C21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9122">
      <w:bodyDiv w:val="1"/>
      <w:marLeft w:val="0"/>
      <w:marRight w:val="0"/>
      <w:marTop w:val="0"/>
      <w:marBottom w:val="0"/>
      <w:divBdr>
        <w:top w:val="none" w:sz="0" w:space="0" w:color="auto"/>
        <w:left w:val="none" w:sz="0" w:space="0" w:color="auto"/>
        <w:bottom w:val="none" w:sz="0" w:space="0" w:color="auto"/>
        <w:right w:val="none" w:sz="0" w:space="0" w:color="auto"/>
      </w:divBdr>
    </w:div>
    <w:div w:id="101531823">
      <w:bodyDiv w:val="1"/>
      <w:marLeft w:val="0"/>
      <w:marRight w:val="0"/>
      <w:marTop w:val="0"/>
      <w:marBottom w:val="0"/>
      <w:divBdr>
        <w:top w:val="none" w:sz="0" w:space="0" w:color="auto"/>
        <w:left w:val="none" w:sz="0" w:space="0" w:color="auto"/>
        <w:bottom w:val="none" w:sz="0" w:space="0" w:color="auto"/>
        <w:right w:val="none" w:sz="0" w:space="0" w:color="auto"/>
      </w:divBdr>
      <w:divsChild>
        <w:div w:id="1912546547">
          <w:marLeft w:val="0"/>
          <w:marRight w:val="0"/>
          <w:marTop w:val="0"/>
          <w:marBottom w:val="0"/>
          <w:divBdr>
            <w:top w:val="none" w:sz="0" w:space="0" w:color="auto"/>
            <w:left w:val="none" w:sz="0" w:space="0" w:color="auto"/>
            <w:bottom w:val="none" w:sz="0" w:space="0" w:color="auto"/>
            <w:right w:val="none" w:sz="0" w:space="0" w:color="auto"/>
          </w:divBdr>
        </w:div>
      </w:divsChild>
    </w:div>
    <w:div w:id="137767962">
      <w:bodyDiv w:val="1"/>
      <w:marLeft w:val="0"/>
      <w:marRight w:val="0"/>
      <w:marTop w:val="0"/>
      <w:marBottom w:val="0"/>
      <w:divBdr>
        <w:top w:val="none" w:sz="0" w:space="0" w:color="auto"/>
        <w:left w:val="none" w:sz="0" w:space="0" w:color="auto"/>
        <w:bottom w:val="none" w:sz="0" w:space="0" w:color="auto"/>
        <w:right w:val="none" w:sz="0" w:space="0" w:color="auto"/>
      </w:divBdr>
      <w:divsChild>
        <w:div w:id="44573486">
          <w:marLeft w:val="360"/>
          <w:marRight w:val="0"/>
          <w:marTop w:val="0"/>
          <w:marBottom w:val="0"/>
          <w:divBdr>
            <w:top w:val="none" w:sz="0" w:space="0" w:color="auto"/>
            <w:left w:val="none" w:sz="0" w:space="0" w:color="auto"/>
            <w:bottom w:val="none" w:sz="0" w:space="0" w:color="auto"/>
            <w:right w:val="none" w:sz="0" w:space="0" w:color="auto"/>
          </w:divBdr>
        </w:div>
        <w:div w:id="828904474">
          <w:marLeft w:val="360"/>
          <w:marRight w:val="0"/>
          <w:marTop w:val="0"/>
          <w:marBottom w:val="0"/>
          <w:divBdr>
            <w:top w:val="none" w:sz="0" w:space="0" w:color="auto"/>
            <w:left w:val="none" w:sz="0" w:space="0" w:color="auto"/>
            <w:bottom w:val="none" w:sz="0" w:space="0" w:color="auto"/>
            <w:right w:val="none" w:sz="0" w:space="0" w:color="auto"/>
          </w:divBdr>
        </w:div>
        <w:div w:id="1460994455">
          <w:marLeft w:val="360"/>
          <w:marRight w:val="0"/>
          <w:marTop w:val="0"/>
          <w:marBottom w:val="0"/>
          <w:divBdr>
            <w:top w:val="none" w:sz="0" w:space="0" w:color="auto"/>
            <w:left w:val="none" w:sz="0" w:space="0" w:color="auto"/>
            <w:bottom w:val="none" w:sz="0" w:space="0" w:color="auto"/>
            <w:right w:val="none" w:sz="0" w:space="0" w:color="auto"/>
          </w:divBdr>
        </w:div>
      </w:divsChild>
    </w:div>
    <w:div w:id="137957636">
      <w:bodyDiv w:val="1"/>
      <w:marLeft w:val="0"/>
      <w:marRight w:val="0"/>
      <w:marTop w:val="0"/>
      <w:marBottom w:val="0"/>
      <w:divBdr>
        <w:top w:val="none" w:sz="0" w:space="0" w:color="auto"/>
        <w:left w:val="none" w:sz="0" w:space="0" w:color="auto"/>
        <w:bottom w:val="none" w:sz="0" w:space="0" w:color="auto"/>
        <w:right w:val="none" w:sz="0" w:space="0" w:color="auto"/>
      </w:divBdr>
    </w:div>
    <w:div w:id="150952796">
      <w:bodyDiv w:val="1"/>
      <w:marLeft w:val="0"/>
      <w:marRight w:val="0"/>
      <w:marTop w:val="0"/>
      <w:marBottom w:val="0"/>
      <w:divBdr>
        <w:top w:val="none" w:sz="0" w:space="0" w:color="auto"/>
        <w:left w:val="none" w:sz="0" w:space="0" w:color="auto"/>
        <w:bottom w:val="none" w:sz="0" w:space="0" w:color="auto"/>
        <w:right w:val="none" w:sz="0" w:space="0" w:color="auto"/>
      </w:divBdr>
      <w:divsChild>
        <w:div w:id="162471393">
          <w:marLeft w:val="590"/>
          <w:marRight w:val="0"/>
          <w:marTop w:val="0"/>
          <w:marBottom w:val="0"/>
          <w:divBdr>
            <w:top w:val="none" w:sz="0" w:space="0" w:color="auto"/>
            <w:left w:val="none" w:sz="0" w:space="0" w:color="auto"/>
            <w:bottom w:val="none" w:sz="0" w:space="0" w:color="auto"/>
            <w:right w:val="none" w:sz="0" w:space="0" w:color="auto"/>
          </w:divBdr>
        </w:div>
        <w:div w:id="372778337">
          <w:marLeft w:val="590"/>
          <w:marRight w:val="0"/>
          <w:marTop w:val="0"/>
          <w:marBottom w:val="0"/>
          <w:divBdr>
            <w:top w:val="none" w:sz="0" w:space="0" w:color="auto"/>
            <w:left w:val="none" w:sz="0" w:space="0" w:color="auto"/>
            <w:bottom w:val="none" w:sz="0" w:space="0" w:color="auto"/>
            <w:right w:val="none" w:sz="0" w:space="0" w:color="auto"/>
          </w:divBdr>
        </w:div>
        <w:div w:id="907810890">
          <w:marLeft w:val="590"/>
          <w:marRight w:val="0"/>
          <w:marTop w:val="0"/>
          <w:marBottom w:val="0"/>
          <w:divBdr>
            <w:top w:val="none" w:sz="0" w:space="0" w:color="auto"/>
            <w:left w:val="none" w:sz="0" w:space="0" w:color="auto"/>
            <w:bottom w:val="none" w:sz="0" w:space="0" w:color="auto"/>
            <w:right w:val="none" w:sz="0" w:space="0" w:color="auto"/>
          </w:divBdr>
        </w:div>
        <w:div w:id="1078937489">
          <w:marLeft w:val="590"/>
          <w:marRight w:val="0"/>
          <w:marTop w:val="0"/>
          <w:marBottom w:val="0"/>
          <w:divBdr>
            <w:top w:val="none" w:sz="0" w:space="0" w:color="auto"/>
            <w:left w:val="none" w:sz="0" w:space="0" w:color="auto"/>
            <w:bottom w:val="none" w:sz="0" w:space="0" w:color="auto"/>
            <w:right w:val="none" w:sz="0" w:space="0" w:color="auto"/>
          </w:divBdr>
        </w:div>
        <w:div w:id="1258904973">
          <w:marLeft w:val="590"/>
          <w:marRight w:val="0"/>
          <w:marTop w:val="0"/>
          <w:marBottom w:val="0"/>
          <w:divBdr>
            <w:top w:val="none" w:sz="0" w:space="0" w:color="auto"/>
            <w:left w:val="none" w:sz="0" w:space="0" w:color="auto"/>
            <w:bottom w:val="none" w:sz="0" w:space="0" w:color="auto"/>
            <w:right w:val="none" w:sz="0" w:space="0" w:color="auto"/>
          </w:divBdr>
        </w:div>
      </w:divsChild>
    </w:div>
    <w:div w:id="440416843">
      <w:bodyDiv w:val="1"/>
      <w:marLeft w:val="0"/>
      <w:marRight w:val="0"/>
      <w:marTop w:val="0"/>
      <w:marBottom w:val="0"/>
      <w:divBdr>
        <w:top w:val="none" w:sz="0" w:space="0" w:color="auto"/>
        <w:left w:val="none" w:sz="0" w:space="0" w:color="auto"/>
        <w:bottom w:val="none" w:sz="0" w:space="0" w:color="auto"/>
        <w:right w:val="none" w:sz="0" w:space="0" w:color="auto"/>
      </w:divBdr>
    </w:div>
    <w:div w:id="461535089">
      <w:bodyDiv w:val="1"/>
      <w:marLeft w:val="0"/>
      <w:marRight w:val="0"/>
      <w:marTop w:val="0"/>
      <w:marBottom w:val="0"/>
      <w:divBdr>
        <w:top w:val="none" w:sz="0" w:space="0" w:color="auto"/>
        <w:left w:val="none" w:sz="0" w:space="0" w:color="auto"/>
        <w:bottom w:val="none" w:sz="0" w:space="0" w:color="auto"/>
        <w:right w:val="none" w:sz="0" w:space="0" w:color="auto"/>
      </w:divBdr>
    </w:div>
    <w:div w:id="481044423">
      <w:bodyDiv w:val="1"/>
      <w:marLeft w:val="0"/>
      <w:marRight w:val="0"/>
      <w:marTop w:val="0"/>
      <w:marBottom w:val="0"/>
      <w:divBdr>
        <w:top w:val="none" w:sz="0" w:space="0" w:color="auto"/>
        <w:left w:val="none" w:sz="0" w:space="0" w:color="auto"/>
        <w:bottom w:val="none" w:sz="0" w:space="0" w:color="auto"/>
        <w:right w:val="none" w:sz="0" w:space="0" w:color="auto"/>
      </w:divBdr>
    </w:div>
    <w:div w:id="496115790">
      <w:bodyDiv w:val="1"/>
      <w:marLeft w:val="0"/>
      <w:marRight w:val="0"/>
      <w:marTop w:val="0"/>
      <w:marBottom w:val="0"/>
      <w:divBdr>
        <w:top w:val="none" w:sz="0" w:space="0" w:color="auto"/>
        <w:left w:val="none" w:sz="0" w:space="0" w:color="auto"/>
        <w:bottom w:val="none" w:sz="0" w:space="0" w:color="auto"/>
        <w:right w:val="none" w:sz="0" w:space="0" w:color="auto"/>
      </w:divBdr>
    </w:div>
    <w:div w:id="543954712">
      <w:bodyDiv w:val="1"/>
      <w:marLeft w:val="0"/>
      <w:marRight w:val="0"/>
      <w:marTop w:val="0"/>
      <w:marBottom w:val="0"/>
      <w:divBdr>
        <w:top w:val="none" w:sz="0" w:space="0" w:color="auto"/>
        <w:left w:val="none" w:sz="0" w:space="0" w:color="auto"/>
        <w:bottom w:val="none" w:sz="0" w:space="0" w:color="auto"/>
        <w:right w:val="none" w:sz="0" w:space="0" w:color="auto"/>
      </w:divBdr>
    </w:div>
    <w:div w:id="558589647">
      <w:bodyDiv w:val="1"/>
      <w:marLeft w:val="0"/>
      <w:marRight w:val="0"/>
      <w:marTop w:val="0"/>
      <w:marBottom w:val="0"/>
      <w:divBdr>
        <w:top w:val="none" w:sz="0" w:space="0" w:color="auto"/>
        <w:left w:val="none" w:sz="0" w:space="0" w:color="auto"/>
        <w:bottom w:val="none" w:sz="0" w:space="0" w:color="auto"/>
        <w:right w:val="none" w:sz="0" w:space="0" w:color="auto"/>
      </w:divBdr>
    </w:div>
    <w:div w:id="569778111">
      <w:bodyDiv w:val="1"/>
      <w:marLeft w:val="0"/>
      <w:marRight w:val="0"/>
      <w:marTop w:val="0"/>
      <w:marBottom w:val="0"/>
      <w:divBdr>
        <w:top w:val="none" w:sz="0" w:space="0" w:color="auto"/>
        <w:left w:val="none" w:sz="0" w:space="0" w:color="auto"/>
        <w:bottom w:val="none" w:sz="0" w:space="0" w:color="auto"/>
        <w:right w:val="none" w:sz="0" w:space="0" w:color="auto"/>
      </w:divBdr>
    </w:div>
    <w:div w:id="595942510">
      <w:bodyDiv w:val="1"/>
      <w:marLeft w:val="0"/>
      <w:marRight w:val="0"/>
      <w:marTop w:val="0"/>
      <w:marBottom w:val="0"/>
      <w:divBdr>
        <w:top w:val="none" w:sz="0" w:space="0" w:color="auto"/>
        <w:left w:val="none" w:sz="0" w:space="0" w:color="auto"/>
        <w:bottom w:val="none" w:sz="0" w:space="0" w:color="auto"/>
        <w:right w:val="none" w:sz="0" w:space="0" w:color="auto"/>
      </w:divBdr>
    </w:div>
    <w:div w:id="637878181">
      <w:bodyDiv w:val="1"/>
      <w:marLeft w:val="0"/>
      <w:marRight w:val="0"/>
      <w:marTop w:val="0"/>
      <w:marBottom w:val="0"/>
      <w:divBdr>
        <w:top w:val="none" w:sz="0" w:space="0" w:color="auto"/>
        <w:left w:val="none" w:sz="0" w:space="0" w:color="auto"/>
        <w:bottom w:val="none" w:sz="0" w:space="0" w:color="auto"/>
        <w:right w:val="none" w:sz="0" w:space="0" w:color="auto"/>
      </w:divBdr>
      <w:divsChild>
        <w:div w:id="1950158369">
          <w:marLeft w:val="0"/>
          <w:marRight w:val="0"/>
          <w:marTop w:val="0"/>
          <w:marBottom w:val="0"/>
          <w:divBdr>
            <w:top w:val="none" w:sz="0" w:space="0" w:color="auto"/>
            <w:left w:val="none" w:sz="0" w:space="0" w:color="auto"/>
            <w:bottom w:val="none" w:sz="0" w:space="0" w:color="auto"/>
            <w:right w:val="none" w:sz="0" w:space="0" w:color="auto"/>
          </w:divBdr>
        </w:div>
      </w:divsChild>
    </w:div>
    <w:div w:id="654650240">
      <w:bodyDiv w:val="1"/>
      <w:marLeft w:val="0"/>
      <w:marRight w:val="0"/>
      <w:marTop w:val="0"/>
      <w:marBottom w:val="0"/>
      <w:divBdr>
        <w:top w:val="none" w:sz="0" w:space="0" w:color="auto"/>
        <w:left w:val="none" w:sz="0" w:space="0" w:color="auto"/>
        <w:bottom w:val="none" w:sz="0" w:space="0" w:color="auto"/>
        <w:right w:val="none" w:sz="0" w:space="0" w:color="auto"/>
      </w:divBdr>
    </w:div>
    <w:div w:id="675424942">
      <w:bodyDiv w:val="1"/>
      <w:marLeft w:val="0"/>
      <w:marRight w:val="0"/>
      <w:marTop w:val="0"/>
      <w:marBottom w:val="0"/>
      <w:divBdr>
        <w:top w:val="none" w:sz="0" w:space="0" w:color="auto"/>
        <w:left w:val="none" w:sz="0" w:space="0" w:color="auto"/>
        <w:bottom w:val="none" w:sz="0" w:space="0" w:color="auto"/>
        <w:right w:val="none" w:sz="0" w:space="0" w:color="auto"/>
      </w:divBdr>
      <w:divsChild>
        <w:div w:id="1405104422">
          <w:marLeft w:val="360"/>
          <w:marRight w:val="0"/>
          <w:marTop w:val="0"/>
          <w:marBottom w:val="0"/>
          <w:divBdr>
            <w:top w:val="none" w:sz="0" w:space="0" w:color="auto"/>
            <w:left w:val="none" w:sz="0" w:space="0" w:color="auto"/>
            <w:bottom w:val="none" w:sz="0" w:space="0" w:color="auto"/>
            <w:right w:val="none" w:sz="0" w:space="0" w:color="auto"/>
          </w:divBdr>
        </w:div>
        <w:div w:id="1711148797">
          <w:marLeft w:val="360"/>
          <w:marRight w:val="0"/>
          <w:marTop w:val="0"/>
          <w:marBottom w:val="0"/>
          <w:divBdr>
            <w:top w:val="none" w:sz="0" w:space="0" w:color="auto"/>
            <w:left w:val="none" w:sz="0" w:space="0" w:color="auto"/>
            <w:bottom w:val="none" w:sz="0" w:space="0" w:color="auto"/>
            <w:right w:val="none" w:sz="0" w:space="0" w:color="auto"/>
          </w:divBdr>
        </w:div>
        <w:div w:id="1939558376">
          <w:marLeft w:val="360"/>
          <w:marRight w:val="0"/>
          <w:marTop w:val="0"/>
          <w:marBottom w:val="0"/>
          <w:divBdr>
            <w:top w:val="none" w:sz="0" w:space="0" w:color="auto"/>
            <w:left w:val="none" w:sz="0" w:space="0" w:color="auto"/>
            <w:bottom w:val="none" w:sz="0" w:space="0" w:color="auto"/>
            <w:right w:val="none" w:sz="0" w:space="0" w:color="auto"/>
          </w:divBdr>
        </w:div>
      </w:divsChild>
    </w:div>
    <w:div w:id="706413858">
      <w:bodyDiv w:val="1"/>
      <w:marLeft w:val="0"/>
      <w:marRight w:val="0"/>
      <w:marTop w:val="0"/>
      <w:marBottom w:val="0"/>
      <w:divBdr>
        <w:top w:val="none" w:sz="0" w:space="0" w:color="auto"/>
        <w:left w:val="none" w:sz="0" w:space="0" w:color="auto"/>
        <w:bottom w:val="none" w:sz="0" w:space="0" w:color="auto"/>
        <w:right w:val="none" w:sz="0" w:space="0" w:color="auto"/>
      </w:divBdr>
    </w:div>
    <w:div w:id="795635316">
      <w:bodyDiv w:val="1"/>
      <w:marLeft w:val="0"/>
      <w:marRight w:val="0"/>
      <w:marTop w:val="0"/>
      <w:marBottom w:val="0"/>
      <w:divBdr>
        <w:top w:val="none" w:sz="0" w:space="0" w:color="auto"/>
        <w:left w:val="none" w:sz="0" w:space="0" w:color="auto"/>
        <w:bottom w:val="none" w:sz="0" w:space="0" w:color="auto"/>
        <w:right w:val="none" w:sz="0" w:space="0" w:color="auto"/>
      </w:divBdr>
    </w:div>
    <w:div w:id="822233479">
      <w:bodyDiv w:val="1"/>
      <w:marLeft w:val="0"/>
      <w:marRight w:val="0"/>
      <w:marTop w:val="0"/>
      <w:marBottom w:val="0"/>
      <w:divBdr>
        <w:top w:val="none" w:sz="0" w:space="0" w:color="auto"/>
        <w:left w:val="none" w:sz="0" w:space="0" w:color="auto"/>
        <w:bottom w:val="none" w:sz="0" w:space="0" w:color="auto"/>
        <w:right w:val="none" w:sz="0" w:space="0" w:color="auto"/>
      </w:divBdr>
      <w:divsChild>
        <w:div w:id="267858650">
          <w:marLeft w:val="590"/>
          <w:marRight w:val="0"/>
          <w:marTop w:val="0"/>
          <w:marBottom w:val="0"/>
          <w:divBdr>
            <w:top w:val="none" w:sz="0" w:space="0" w:color="auto"/>
            <w:left w:val="none" w:sz="0" w:space="0" w:color="auto"/>
            <w:bottom w:val="none" w:sz="0" w:space="0" w:color="auto"/>
            <w:right w:val="none" w:sz="0" w:space="0" w:color="auto"/>
          </w:divBdr>
        </w:div>
        <w:div w:id="401678685">
          <w:marLeft w:val="590"/>
          <w:marRight w:val="0"/>
          <w:marTop w:val="0"/>
          <w:marBottom w:val="0"/>
          <w:divBdr>
            <w:top w:val="none" w:sz="0" w:space="0" w:color="auto"/>
            <w:left w:val="none" w:sz="0" w:space="0" w:color="auto"/>
            <w:bottom w:val="none" w:sz="0" w:space="0" w:color="auto"/>
            <w:right w:val="none" w:sz="0" w:space="0" w:color="auto"/>
          </w:divBdr>
        </w:div>
        <w:div w:id="545944383">
          <w:marLeft w:val="590"/>
          <w:marRight w:val="0"/>
          <w:marTop w:val="0"/>
          <w:marBottom w:val="0"/>
          <w:divBdr>
            <w:top w:val="none" w:sz="0" w:space="0" w:color="auto"/>
            <w:left w:val="none" w:sz="0" w:space="0" w:color="auto"/>
            <w:bottom w:val="none" w:sz="0" w:space="0" w:color="auto"/>
            <w:right w:val="none" w:sz="0" w:space="0" w:color="auto"/>
          </w:divBdr>
        </w:div>
        <w:div w:id="868764959">
          <w:marLeft w:val="590"/>
          <w:marRight w:val="0"/>
          <w:marTop w:val="0"/>
          <w:marBottom w:val="0"/>
          <w:divBdr>
            <w:top w:val="none" w:sz="0" w:space="0" w:color="auto"/>
            <w:left w:val="none" w:sz="0" w:space="0" w:color="auto"/>
            <w:bottom w:val="none" w:sz="0" w:space="0" w:color="auto"/>
            <w:right w:val="none" w:sz="0" w:space="0" w:color="auto"/>
          </w:divBdr>
        </w:div>
        <w:div w:id="1176456097">
          <w:marLeft w:val="590"/>
          <w:marRight w:val="0"/>
          <w:marTop w:val="0"/>
          <w:marBottom w:val="0"/>
          <w:divBdr>
            <w:top w:val="none" w:sz="0" w:space="0" w:color="auto"/>
            <w:left w:val="none" w:sz="0" w:space="0" w:color="auto"/>
            <w:bottom w:val="none" w:sz="0" w:space="0" w:color="auto"/>
            <w:right w:val="none" w:sz="0" w:space="0" w:color="auto"/>
          </w:divBdr>
        </w:div>
        <w:div w:id="1343242473">
          <w:marLeft w:val="590"/>
          <w:marRight w:val="0"/>
          <w:marTop w:val="0"/>
          <w:marBottom w:val="0"/>
          <w:divBdr>
            <w:top w:val="none" w:sz="0" w:space="0" w:color="auto"/>
            <w:left w:val="none" w:sz="0" w:space="0" w:color="auto"/>
            <w:bottom w:val="none" w:sz="0" w:space="0" w:color="auto"/>
            <w:right w:val="none" w:sz="0" w:space="0" w:color="auto"/>
          </w:divBdr>
        </w:div>
        <w:div w:id="1496530102">
          <w:marLeft w:val="590"/>
          <w:marRight w:val="0"/>
          <w:marTop w:val="0"/>
          <w:marBottom w:val="0"/>
          <w:divBdr>
            <w:top w:val="none" w:sz="0" w:space="0" w:color="auto"/>
            <w:left w:val="none" w:sz="0" w:space="0" w:color="auto"/>
            <w:bottom w:val="none" w:sz="0" w:space="0" w:color="auto"/>
            <w:right w:val="none" w:sz="0" w:space="0" w:color="auto"/>
          </w:divBdr>
        </w:div>
        <w:div w:id="1695034559">
          <w:marLeft w:val="590"/>
          <w:marRight w:val="0"/>
          <w:marTop w:val="0"/>
          <w:marBottom w:val="0"/>
          <w:divBdr>
            <w:top w:val="none" w:sz="0" w:space="0" w:color="auto"/>
            <w:left w:val="none" w:sz="0" w:space="0" w:color="auto"/>
            <w:bottom w:val="none" w:sz="0" w:space="0" w:color="auto"/>
            <w:right w:val="none" w:sz="0" w:space="0" w:color="auto"/>
          </w:divBdr>
        </w:div>
        <w:div w:id="1791896183">
          <w:marLeft w:val="590"/>
          <w:marRight w:val="0"/>
          <w:marTop w:val="0"/>
          <w:marBottom w:val="0"/>
          <w:divBdr>
            <w:top w:val="none" w:sz="0" w:space="0" w:color="auto"/>
            <w:left w:val="none" w:sz="0" w:space="0" w:color="auto"/>
            <w:bottom w:val="none" w:sz="0" w:space="0" w:color="auto"/>
            <w:right w:val="none" w:sz="0" w:space="0" w:color="auto"/>
          </w:divBdr>
        </w:div>
        <w:div w:id="1927226133">
          <w:marLeft w:val="590"/>
          <w:marRight w:val="0"/>
          <w:marTop w:val="0"/>
          <w:marBottom w:val="0"/>
          <w:divBdr>
            <w:top w:val="none" w:sz="0" w:space="0" w:color="auto"/>
            <w:left w:val="none" w:sz="0" w:space="0" w:color="auto"/>
            <w:bottom w:val="none" w:sz="0" w:space="0" w:color="auto"/>
            <w:right w:val="none" w:sz="0" w:space="0" w:color="auto"/>
          </w:divBdr>
        </w:div>
        <w:div w:id="2056853228">
          <w:marLeft w:val="590"/>
          <w:marRight w:val="0"/>
          <w:marTop w:val="0"/>
          <w:marBottom w:val="0"/>
          <w:divBdr>
            <w:top w:val="none" w:sz="0" w:space="0" w:color="auto"/>
            <w:left w:val="none" w:sz="0" w:space="0" w:color="auto"/>
            <w:bottom w:val="none" w:sz="0" w:space="0" w:color="auto"/>
            <w:right w:val="none" w:sz="0" w:space="0" w:color="auto"/>
          </w:divBdr>
        </w:div>
      </w:divsChild>
    </w:div>
    <w:div w:id="977613003">
      <w:bodyDiv w:val="1"/>
      <w:marLeft w:val="0"/>
      <w:marRight w:val="0"/>
      <w:marTop w:val="0"/>
      <w:marBottom w:val="0"/>
      <w:divBdr>
        <w:top w:val="none" w:sz="0" w:space="0" w:color="auto"/>
        <w:left w:val="none" w:sz="0" w:space="0" w:color="auto"/>
        <w:bottom w:val="none" w:sz="0" w:space="0" w:color="auto"/>
        <w:right w:val="none" w:sz="0" w:space="0" w:color="auto"/>
      </w:divBdr>
    </w:div>
    <w:div w:id="987241896">
      <w:bodyDiv w:val="1"/>
      <w:marLeft w:val="0"/>
      <w:marRight w:val="0"/>
      <w:marTop w:val="0"/>
      <w:marBottom w:val="0"/>
      <w:divBdr>
        <w:top w:val="none" w:sz="0" w:space="0" w:color="auto"/>
        <w:left w:val="none" w:sz="0" w:space="0" w:color="auto"/>
        <w:bottom w:val="none" w:sz="0" w:space="0" w:color="auto"/>
        <w:right w:val="none" w:sz="0" w:space="0" w:color="auto"/>
      </w:divBdr>
    </w:div>
    <w:div w:id="998464319">
      <w:bodyDiv w:val="1"/>
      <w:marLeft w:val="0"/>
      <w:marRight w:val="0"/>
      <w:marTop w:val="0"/>
      <w:marBottom w:val="0"/>
      <w:divBdr>
        <w:top w:val="none" w:sz="0" w:space="0" w:color="auto"/>
        <w:left w:val="none" w:sz="0" w:space="0" w:color="auto"/>
        <w:bottom w:val="none" w:sz="0" w:space="0" w:color="auto"/>
        <w:right w:val="none" w:sz="0" w:space="0" w:color="auto"/>
      </w:divBdr>
    </w:div>
    <w:div w:id="1000079966">
      <w:bodyDiv w:val="1"/>
      <w:marLeft w:val="0"/>
      <w:marRight w:val="0"/>
      <w:marTop w:val="0"/>
      <w:marBottom w:val="0"/>
      <w:divBdr>
        <w:top w:val="none" w:sz="0" w:space="0" w:color="auto"/>
        <w:left w:val="none" w:sz="0" w:space="0" w:color="auto"/>
        <w:bottom w:val="none" w:sz="0" w:space="0" w:color="auto"/>
        <w:right w:val="none" w:sz="0" w:space="0" w:color="auto"/>
      </w:divBdr>
    </w:div>
    <w:div w:id="1049112532">
      <w:bodyDiv w:val="1"/>
      <w:marLeft w:val="0"/>
      <w:marRight w:val="0"/>
      <w:marTop w:val="0"/>
      <w:marBottom w:val="0"/>
      <w:divBdr>
        <w:top w:val="none" w:sz="0" w:space="0" w:color="auto"/>
        <w:left w:val="none" w:sz="0" w:space="0" w:color="auto"/>
        <w:bottom w:val="none" w:sz="0" w:space="0" w:color="auto"/>
        <w:right w:val="none" w:sz="0" w:space="0" w:color="auto"/>
      </w:divBdr>
    </w:div>
    <w:div w:id="1119254277">
      <w:bodyDiv w:val="1"/>
      <w:marLeft w:val="0"/>
      <w:marRight w:val="0"/>
      <w:marTop w:val="0"/>
      <w:marBottom w:val="0"/>
      <w:divBdr>
        <w:top w:val="none" w:sz="0" w:space="0" w:color="auto"/>
        <w:left w:val="none" w:sz="0" w:space="0" w:color="auto"/>
        <w:bottom w:val="none" w:sz="0" w:space="0" w:color="auto"/>
        <w:right w:val="none" w:sz="0" w:space="0" w:color="auto"/>
      </w:divBdr>
      <w:divsChild>
        <w:div w:id="258684931">
          <w:marLeft w:val="590"/>
          <w:marRight w:val="0"/>
          <w:marTop w:val="0"/>
          <w:marBottom w:val="0"/>
          <w:divBdr>
            <w:top w:val="none" w:sz="0" w:space="0" w:color="auto"/>
            <w:left w:val="none" w:sz="0" w:space="0" w:color="auto"/>
            <w:bottom w:val="none" w:sz="0" w:space="0" w:color="auto"/>
            <w:right w:val="none" w:sz="0" w:space="0" w:color="auto"/>
          </w:divBdr>
        </w:div>
        <w:div w:id="289358860">
          <w:marLeft w:val="590"/>
          <w:marRight w:val="0"/>
          <w:marTop w:val="0"/>
          <w:marBottom w:val="0"/>
          <w:divBdr>
            <w:top w:val="none" w:sz="0" w:space="0" w:color="auto"/>
            <w:left w:val="none" w:sz="0" w:space="0" w:color="auto"/>
            <w:bottom w:val="none" w:sz="0" w:space="0" w:color="auto"/>
            <w:right w:val="none" w:sz="0" w:space="0" w:color="auto"/>
          </w:divBdr>
        </w:div>
        <w:div w:id="615134869">
          <w:marLeft w:val="590"/>
          <w:marRight w:val="0"/>
          <w:marTop w:val="0"/>
          <w:marBottom w:val="0"/>
          <w:divBdr>
            <w:top w:val="none" w:sz="0" w:space="0" w:color="auto"/>
            <w:left w:val="none" w:sz="0" w:space="0" w:color="auto"/>
            <w:bottom w:val="none" w:sz="0" w:space="0" w:color="auto"/>
            <w:right w:val="none" w:sz="0" w:space="0" w:color="auto"/>
          </w:divBdr>
        </w:div>
        <w:div w:id="636952877">
          <w:marLeft w:val="590"/>
          <w:marRight w:val="0"/>
          <w:marTop w:val="0"/>
          <w:marBottom w:val="0"/>
          <w:divBdr>
            <w:top w:val="none" w:sz="0" w:space="0" w:color="auto"/>
            <w:left w:val="none" w:sz="0" w:space="0" w:color="auto"/>
            <w:bottom w:val="none" w:sz="0" w:space="0" w:color="auto"/>
            <w:right w:val="none" w:sz="0" w:space="0" w:color="auto"/>
          </w:divBdr>
        </w:div>
        <w:div w:id="902452683">
          <w:marLeft w:val="590"/>
          <w:marRight w:val="0"/>
          <w:marTop w:val="0"/>
          <w:marBottom w:val="0"/>
          <w:divBdr>
            <w:top w:val="none" w:sz="0" w:space="0" w:color="auto"/>
            <w:left w:val="none" w:sz="0" w:space="0" w:color="auto"/>
            <w:bottom w:val="none" w:sz="0" w:space="0" w:color="auto"/>
            <w:right w:val="none" w:sz="0" w:space="0" w:color="auto"/>
          </w:divBdr>
        </w:div>
        <w:div w:id="1124156308">
          <w:marLeft w:val="590"/>
          <w:marRight w:val="0"/>
          <w:marTop w:val="0"/>
          <w:marBottom w:val="0"/>
          <w:divBdr>
            <w:top w:val="none" w:sz="0" w:space="0" w:color="auto"/>
            <w:left w:val="none" w:sz="0" w:space="0" w:color="auto"/>
            <w:bottom w:val="none" w:sz="0" w:space="0" w:color="auto"/>
            <w:right w:val="none" w:sz="0" w:space="0" w:color="auto"/>
          </w:divBdr>
        </w:div>
        <w:div w:id="1373848122">
          <w:marLeft w:val="590"/>
          <w:marRight w:val="0"/>
          <w:marTop w:val="0"/>
          <w:marBottom w:val="0"/>
          <w:divBdr>
            <w:top w:val="none" w:sz="0" w:space="0" w:color="auto"/>
            <w:left w:val="none" w:sz="0" w:space="0" w:color="auto"/>
            <w:bottom w:val="none" w:sz="0" w:space="0" w:color="auto"/>
            <w:right w:val="none" w:sz="0" w:space="0" w:color="auto"/>
          </w:divBdr>
        </w:div>
        <w:div w:id="1468742487">
          <w:marLeft w:val="590"/>
          <w:marRight w:val="0"/>
          <w:marTop w:val="0"/>
          <w:marBottom w:val="0"/>
          <w:divBdr>
            <w:top w:val="none" w:sz="0" w:space="0" w:color="auto"/>
            <w:left w:val="none" w:sz="0" w:space="0" w:color="auto"/>
            <w:bottom w:val="none" w:sz="0" w:space="0" w:color="auto"/>
            <w:right w:val="none" w:sz="0" w:space="0" w:color="auto"/>
          </w:divBdr>
        </w:div>
        <w:div w:id="1541625341">
          <w:marLeft w:val="590"/>
          <w:marRight w:val="0"/>
          <w:marTop w:val="0"/>
          <w:marBottom w:val="0"/>
          <w:divBdr>
            <w:top w:val="none" w:sz="0" w:space="0" w:color="auto"/>
            <w:left w:val="none" w:sz="0" w:space="0" w:color="auto"/>
            <w:bottom w:val="none" w:sz="0" w:space="0" w:color="auto"/>
            <w:right w:val="none" w:sz="0" w:space="0" w:color="auto"/>
          </w:divBdr>
        </w:div>
        <w:div w:id="1793018480">
          <w:marLeft w:val="590"/>
          <w:marRight w:val="0"/>
          <w:marTop w:val="0"/>
          <w:marBottom w:val="0"/>
          <w:divBdr>
            <w:top w:val="none" w:sz="0" w:space="0" w:color="auto"/>
            <w:left w:val="none" w:sz="0" w:space="0" w:color="auto"/>
            <w:bottom w:val="none" w:sz="0" w:space="0" w:color="auto"/>
            <w:right w:val="none" w:sz="0" w:space="0" w:color="auto"/>
          </w:divBdr>
        </w:div>
        <w:div w:id="1918201619">
          <w:marLeft w:val="590"/>
          <w:marRight w:val="0"/>
          <w:marTop w:val="0"/>
          <w:marBottom w:val="0"/>
          <w:divBdr>
            <w:top w:val="none" w:sz="0" w:space="0" w:color="auto"/>
            <w:left w:val="none" w:sz="0" w:space="0" w:color="auto"/>
            <w:bottom w:val="none" w:sz="0" w:space="0" w:color="auto"/>
            <w:right w:val="none" w:sz="0" w:space="0" w:color="auto"/>
          </w:divBdr>
        </w:div>
      </w:divsChild>
    </w:div>
    <w:div w:id="1259214053">
      <w:bodyDiv w:val="1"/>
      <w:marLeft w:val="0"/>
      <w:marRight w:val="0"/>
      <w:marTop w:val="0"/>
      <w:marBottom w:val="0"/>
      <w:divBdr>
        <w:top w:val="none" w:sz="0" w:space="0" w:color="auto"/>
        <w:left w:val="none" w:sz="0" w:space="0" w:color="auto"/>
        <w:bottom w:val="none" w:sz="0" w:space="0" w:color="auto"/>
        <w:right w:val="none" w:sz="0" w:space="0" w:color="auto"/>
      </w:divBdr>
    </w:div>
    <w:div w:id="1288005571">
      <w:bodyDiv w:val="1"/>
      <w:marLeft w:val="0"/>
      <w:marRight w:val="0"/>
      <w:marTop w:val="0"/>
      <w:marBottom w:val="0"/>
      <w:divBdr>
        <w:top w:val="none" w:sz="0" w:space="0" w:color="auto"/>
        <w:left w:val="none" w:sz="0" w:space="0" w:color="auto"/>
        <w:bottom w:val="none" w:sz="0" w:space="0" w:color="auto"/>
        <w:right w:val="none" w:sz="0" w:space="0" w:color="auto"/>
      </w:divBdr>
    </w:div>
    <w:div w:id="1360156420">
      <w:bodyDiv w:val="1"/>
      <w:marLeft w:val="0"/>
      <w:marRight w:val="0"/>
      <w:marTop w:val="0"/>
      <w:marBottom w:val="0"/>
      <w:divBdr>
        <w:top w:val="none" w:sz="0" w:space="0" w:color="auto"/>
        <w:left w:val="none" w:sz="0" w:space="0" w:color="auto"/>
        <w:bottom w:val="none" w:sz="0" w:space="0" w:color="auto"/>
        <w:right w:val="none" w:sz="0" w:space="0" w:color="auto"/>
      </w:divBdr>
    </w:div>
    <w:div w:id="1404137491">
      <w:bodyDiv w:val="1"/>
      <w:marLeft w:val="0"/>
      <w:marRight w:val="0"/>
      <w:marTop w:val="0"/>
      <w:marBottom w:val="0"/>
      <w:divBdr>
        <w:top w:val="none" w:sz="0" w:space="0" w:color="auto"/>
        <w:left w:val="none" w:sz="0" w:space="0" w:color="auto"/>
        <w:bottom w:val="none" w:sz="0" w:space="0" w:color="auto"/>
        <w:right w:val="none" w:sz="0" w:space="0" w:color="auto"/>
      </w:divBdr>
    </w:div>
    <w:div w:id="1456169004">
      <w:bodyDiv w:val="1"/>
      <w:marLeft w:val="0"/>
      <w:marRight w:val="0"/>
      <w:marTop w:val="0"/>
      <w:marBottom w:val="0"/>
      <w:divBdr>
        <w:top w:val="none" w:sz="0" w:space="0" w:color="auto"/>
        <w:left w:val="none" w:sz="0" w:space="0" w:color="auto"/>
        <w:bottom w:val="none" w:sz="0" w:space="0" w:color="auto"/>
        <w:right w:val="none" w:sz="0" w:space="0" w:color="auto"/>
      </w:divBdr>
    </w:div>
    <w:div w:id="1475180223">
      <w:bodyDiv w:val="1"/>
      <w:marLeft w:val="0"/>
      <w:marRight w:val="0"/>
      <w:marTop w:val="0"/>
      <w:marBottom w:val="0"/>
      <w:divBdr>
        <w:top w:val="none" w:sz="0" w:space="0" w:color="auto"/>
        <w:left w:val="none" w:sz="0" w:space="0" w:color="auto"/>
        <w:bottom w:val="none" w:sz="0" w:space="0" w:color="auto"/>
        <w:right w:val="none" w:sz="0" w:space="0" w:color="auto"/>
      </w:divBdr>
    </w:div>
    <w:div w:id="1526746931">
      <w:bodyDiv w:val="1"/>
      <w:marLeft w:val="0"/>
      <w:marRight w:val="0"/>
      <w:marTop w:val="0"/>
      <w:marBottom w:val="0"/>
      <w:divBdr>
        <w:top w:val="none" w:sz="0" w:space="0" w:color="auto"/>
        <w:left w:val="none" w:sz="0" w:space="0" w:color="auto"/>
        <w:bottom w:val="none" w:sz="0" w:space="0" w:color="auto"/>
        <w:right w:val="none" w:sz="0" w:space="0" w:color="auto"/>
      </w:divBdr>
    </w:div>
    <w:div w:id="1557352155">
      <w:bodyDiv w:val="1"/>
      <w:marLeft w:val="0"/>
      <w:marRight w:val="0"/>
      <w:marTop w:val="0"/>
      <w:marBottom w:val="0"/>
      <w:divBdr>
        <w:top w:val="none" w:sz="0" w:space="0" w:color="auto"/>
        <w:left w:val="none" w:sz="0" w:space="0" w:color="auto"/>
        <w:bottom w:val="none" w:sz="0" w:space="0" w:color="auto"/>
        <w:right w:val="none" w:sz="0" w:space="0" w:color="auto"/>
      </w:divBdr>
    </w:div>
    <w:div w:id="1591040134">
      <w:bodyDiv w:val="1"/>
      <w:marLeft w:val="0"/>
      <w:marRight w:val="0"/>
      <w:marTop w:val="0"/>
      <w:marBottom w:val="0"/>
      <w:divBdr>
        <w:top w:val="none" w:sz="0" w:space="0" w:color="auto"/>
        <w:left w:val="none" w:sz="0" w:space="0" w:color="auto"/>
        <w:bottom w:val="none" w:sz="0" w:space="0" w:color="auto"/>
        <w:right w:val="none" w:sz="0" w:space="0" w:color="auto"/>
      </w:divBdr>
    </w:div>
    <w:div w:id="1624457328">
      <w:bodyDiv w:val="1"/>
      <w:marLeft w:val="0"/>
      <w:marRight w:val="0"/>
      <w:marTop w:val="0"/>
      <w:marBottom w:val="0"/>
      <w:divBdr>
        <w:top w:val="none" w:sz="0" w:space="0" w:color="auto"/>
        <w:left w:val="none" w:sz="0" w:space="0" w:color="auto"/>
        <w:bottom w:val="none" w:sz="0" w:space="0" w:color="auto"/>
        <w:right w:val="none" w:sz="0" w:space="0" w:color="auto"/>
      </w:divBdr>
      <w:divsChild>
        <w:div w:id="777138324">
          <w:marLeft w:val="590"/>
          <w:marRight w:val="0"/>
          <w:marTop w:val="0"/>
          <w:marBottom w:val="0"/>
          <w:divBdr>
            <w:top w:val="none" w:sz="0" w:space="0" w:color="auto"/>
            <w:left w:val="none" w:sz="0" w:space="0" w:color="auto"/>
            <w:bottom w:val="none" w:sz="0" w:space="0" w:color="auto"/>
            <w:right w:val="none" w:sz="0" w:space="0" w:color="auto"/>
          </w:divBdr>
        </w:div>
        <w:div w:id="1445732830">
          <w:marLeft w:val="590"/>
          <w:marRight w:val="0"/>
          <w:marTop w:val="0"/>
          <w:marBottom w:val="0"/>
          <w:divBdr>
            <w:top w:val="none" w:sz="0" w:space="0" w:color="auto"/>
            <w:left w:val="none" w:sz="0" w:space="0" w:color="auto"/>
            <w:bottom w:val="none" w:sz="0" w:space="0" w:color="auto"/>
            <w:right w:val="none" w:sz="0" w:space="0" w:color="auto"/>
          </w:divBdr>
        </w:div>
        <w:div w:id="2137789613">
          <w:marLeft w:val="590"/>
          <w:marRight w:val="0"/>
          <w:marTop w:val="0"/>
          <w:marBottom w:val="0"/>
          <w:divBdr>
            <w:top w:val="none" w:sz="0" w:space="0" w:color="auto"/>
            <w:left w:val="none" w:sz="0" w:space="0" w:color="auto"/>
            <w:bottom w:val="none" w:sz="0" w:space="0" w:color="auto"/>
            <w:right w:val="none" w:sz="0" w:space="0" w:color="auto"/>
          </w:divBdr>
        </w:div>
      </w:divsChild>
    </w:div>
    <w:div w:id="1626808449">
      <w:bodyDiv w:val="1"/>
      <w:marLeft w:val="0"/>
      <w:marRight w:val="0"/>
      <w:marTop w:val="0"/>
      <w:marBottom w:val="0"/>
      <w:divBdr>
        <w:top w:val="none" w:sz="0" w:space="0" w:color="auto"/>
        <w:left w:val="none" w:sz="0" w:space="0" w:color="auto"/>
        <w:bottom w:val="none" w:sz="0" w:space="0" w:color="auto"/>
        <w:right w:val="none" w:sz="0" w:space="0" w:color="auto"/>
      </w:divBdr>
    </w:div>
    <w:div w:id="1628243832">
      <w:bodyDiv w:val="1"/>
      <w:marLeft w:val="0"/>
      <w:marRight w:val="0"/>
      <w:marTop w:val="0"/>
      <w:marBottom w:val="0"/>
      <w:divBdr>
        <w:top w:val="none" w:sz="0" w:space="0" w:color="auto"/>
        <w:left w:val="none" w:sz="0" w:space="0" w:color="auto"/>
        <w:bottom w:val="none" w:sz="0" w:space="0" w:color="auto"/>
        <w:right w:val="none" w:sz="0" w:space="0" w:color="auto"/>
      </w:divBdr>
      <w:divsChild>
        <w:div w:id="503591267">
          <w:marLeft w:val="360"/>
          <w:marRight w:val="0"/>
          <w:marTop w:val="0"/>
          <w:marBottom w:val="0"/>
          <w:divBdr>
            <w:top w:val="none" w:sz="0" w:space="0" w:color="auto"/>
            <w:left w:val="none" w:sz="0" w:space="0" w:color="auto"/>
            <w:bottom w:val="none" w:sz="0" w:space="0" w:color="auto"/>
            <w:right w:val="none" w:sz="0" w:space="0" w:color="auto"/>
          </w:divBdr>
        </w:div>
        <w:div w:id="1265647311">
          <w:marLeft w:val="360"/>
          <w:marRight w:val="0"/>
          <w:marTop w:val="0"/>
          <w:marBottom w:val="0"/>
          <w:divBdr>
            <w:top w:val="none" w:sz="0" w:space="0" w:color="auto"/>
            <w:left w:val="none" w:sz="0" w:space="0" w:color="auto"/>
            <w:bottom w:val="none" w:sz="0" w:space="0" w:color="auto"/>
            <w:right w:val="none" w:sz="0" w:space="0" w:color="auto"/>
          </w:divBdr>
        </w:div>
        <w:div w:id="2098285672">
          <w:marLeft w:val="360"/>
          <w:marRight w:val="0"/>
          <w:marTop w:val="0"/>
          <w:marBottom w:val="0"/>
          <w:divBdr>
            <w:top w:val="none" w:sz="0" w:space="0" w:color="auto"/>
            <w:left w:val="none" w:sz="0" w:space="0" w:color="auto"/>
            <w:bottom w:val="none" w:sz="0" w:space="0" w:color="auto"/>
            <w:right w:val="none" w:sz="0" w:space="0" w:color="auto"/>
          </w:divBdr>
        </w:div>
      </w:divsChild>
    </w:div>
    <w:div w:id="1634603737">
      <w:bodyDiv w:val="1"/>
      <w:marLeft w:val="0"/>
      <w:marRight w:val="0"/>
      <w:marTop w:val="0"/>
      <w:marBottom w:val="0"/>
      <w:divBdr>
        <w:top w:val="none" w:sz="0" w:space="0" w:color="auto"/>
        <w:left w:val="none" w:sz="0" w:space="0" w:color="auto"/>
        <w:bottom w:val="none" w:sz="0" w:space="0" w:color="auto"/>
        <w:right w:val="none" w:sz="0" w:space="0" w:color="auto"/>
      </w:divBdr>
    </w:div>
    <w:div w:id="1842355935">
      <w:bodyDiv w:val="1"/>
      <w:marLeft w:val="0"/>
      <w:marRight w:val="0"/>
      <w:marTop w:val="0"/>
      <w:marBottom w:val="0"/>
      <w:divBdr>
        <w:top w:val="none" w:sz="0" w:space="0" w:color="auto"/>
        <w:left w:val="none" w:sz="0" w:space="0" w:color="auto"/>
        <w:bottom w:val="none" w:sz="0" w:space="0" w:color="auto"/>
        <w:right w:val="none" w:sz="0" w:space="0" w:color="auto"/>
      </w:divBdr>
    </w:div>
    <w:div w:id="1885871168">
      <w:bodyDiv w:val="1"/>
      <w:marLeft w:val="0"/>
      <w:marRight w:val="0"/>
      <w:marTop w:val="0"/>
      <w:marBottom w:val="0"/>
      <w:divBdr>
        <w:top w:val="none" w:sz="0" w:space="0" w:color="auto"/>
        <w:left w:val="none" w:sz="0" w:space="0" w:color="auto"/>
        <w:bottom w:val="none" w:sz="0" w:space="0" w:color="auto"/>
        <w:right w:val="none" w:sz="0" w:space="0" w:color="auto"/>
      </w:divBdr>
    </w:div>
    <w:div w:id="1906985916">
      <w:bodyDiv w:val="1"/>
      <w:marLeft w:val="0"/>
      <w:marRight w:val="0"/>
      <w:marTop w:val="0"/>
      <w:marBottom w:val="0"/>
      <w:divBdr>
        <w:top w:val="none" w:sz="0" w:space="0" w:color="auto"/>
        <w:left w:val="none" w:sz="0" w:space="0" w:color="auto"/>
        <w:bottom w:val="none" w:sz="0" w:space="0" w:color="auto"/>
        <w:right w:val="none" w:sz="0" w:space="0" w:color="auto"/>
      </w:divBdr>
    </w:div>
    <w:div w:id="1918591638">
      <w:bodyDiv w:val="1"/>
      <w:marLeft w:val="0"/>
      <w:marRight w:val="0"/>
      <w:marTop w:val="0"/>
      <w:marBottom w:val="0"/>
      <w:divBdr>
        <w:top w:val="none" w:sz="0" w:space="0" w:color="auto"/>
        <w:left w:val="none" w:sz="0" w:space="0" w:color="auto"/>
        <w:bottom w:val="none" w:sz="0" w:space="0" w:color="auto"/>
        <w:right w:val="none" w:sz="0" w:space="0" w:color="auto"/>
      </w:divBdr>
    </w:div>
    <w:div w:id="1970285172">
      <w:bodyDiv w:val="1"/>
      <w:marLeft w:val="0"/>
      <w:marRight w:val="0"/>
      <w:marTop w:val="0"/>
      <w:marBottom w:val="0"/>
      <w:divBdr>
        <w:top w:val="none" w:sz="0" w:space="0" w:color="auto"/>
        <w:left w:val="none" w:sz="0" w:space="0" w:color="auto"/>
        <w:bottom w:val="none" w:sz="0" w:space="0" w:color="auto"/>
        <w:right w:val="none" w:sz="0" w:space="0" w:color="auto"/>
      </w:divBdr>
    </w:div>
    <w:div w:id="1971520469">
      <w:bodyDiv w:val="1"/>
      <w:marLeft w:val="0"/>
      <w:marRight w:val="0"/>
      <w:marTop w:val="0"/>
      <w:marBottom w:val="0"/>
      <w:divBdr>
        <w:top w:val="none" w:sz="0" w:space="0" w:color="auto"/>
        <w:left w:val="none" w:sz="0" w:space="0" w:color="auto"/>
        <w:bottom w:val="none" w:sz="0" w:space="0" w:color="auto"/>
        <w:right w:val="none" w:sz="0" w:space="0" w:color="auto"/>
      </w:divBdr>
    </w:div>
    <w:div w:id="19730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emf"/><Relationship Id="rId63" Type="http://schemas.openxmlformats.org/officeDocument/2006/relationships/image" Target="media/image52.png"/><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emf"/><Relationship Id="rId58" Type="http://schemas.openxmlformats.org/officeDocument/2006/relationships/image" Target="media/image47.PNG"/><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50.emf"/><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emf"/><Relationship Id="rId64" Type="http://schemas.openxmlformats.org/officeDocument/2006/relationships/image" Target="media/image53.png"/><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png"/><Relationship Id="rId59" Type="http://schemas.openxmlformats.org/officeDocument/2006/relationships/image" Target="media/image48.emf"/><Relationship Id="rId67" Type="http://schemas.openxmlformats.org/officeDocument/2006/relationships/footer" Target="footer1.xml"/><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image" Target="media/image43.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emf"/><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emf"/><Relationship Id="rId55" Type="http://schemas.openxmlformats.org/officeDocument/2006/relationships/image" Target="media/image44.png"/></Relationships>
</file>

<file path=word/_rels/footnotes.xml.rels><?xml version="1.0" encoding="UTF-8" standalone="yes"?>
<Relationships xmlns="http://schemas.openxmlformats.org/package/2006/relationships"><Relationship Id="rId2" Type="http://schemas.openxmlformats.org/officeDocument/2006/relationships/hyperlink" Target="https://www.ogauthority.co.uk/data-centre/interactive-maps-and-tools/" TargetMode="External"/><Relationship Id="rId1" Type="http://schemas.openxmlformats.org/officeDocument/2006/relationships/hyperlink" Target="https://www.ogauthority.co.uk/news-publications/publications/2021/ukcs-decommissioning-cost-estimat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8EECFBE7C3340925850D0EE792797" ma:contentTypeVersion="14" ma:contentTypeDescription="Create a new document." ma:contentTypeScope="" ma:versionID="e5e47ca705bea265d8c7dfdcec63c5ca">
  <xsd:schema xmlns:xsd="http://www.w3.org/2001/XMLSchema" xmlns:xs="http://www.w3.org/2001/XMLSchema" xmlns:p="http://schemas.microsoft.com/office/2006/metadata/properties" xmlns:ns2="780ddb92-627b-48f7-9c6b-b4b4d91d0cb3" xmlns:ns3="49537bba-396a-4b89-9278-29987198104d" xmlns:ns4="f19aedad-cc25-4b40-81e4-27d55a83f2bf" targetNamespace="http://schemas.microsoft.com/office/2006/metadata/properties" ma:root="true" ma:fieldsID="4c5aa0dd628924ff394e61740212effe" ns2:_="" ns3:_="" ns4:_="">
    <xsd:import namespace="780ddb92-627b-48f7-9c6b-b4b4d91d0cb3"/>
    <xsd:import namespace="49537bba-396a-4b89-9278-29987198104d"/>
    <xsd:import namespace="f19aedad-cc25-4b40-81e4-27d55a83f2bf"/>
    <xsd:element name="properties">
      <xsd:complexType>
        <xsd:sequence>
          <xsd:element name="documentManagement">
            <xsd:complexType>
              <xsd:all>
                <xsd:element ref="ns2:l0ac4d45f4074c6c9fcb16ef6f267c6a" minOccurs="0"/>
                <xsd:element ref="ns3:TaxCatchAll" minOccurs="0"/>
                <xsd:element ref="ns4:MediaServiceMetadata" minOccurs="0"/>
                <xsd:element ref="ns4:MediaServiceFastMetadata" minOccurs="0"/>
                <xsd:element ref="ns4:g30dac63a17748b0a9e97cf603b6e73d" minOccurs="0"/>
                <xsd:element ref="ns3:SharedWithUsers" minOccurs="0"/>
                <xsd:element ref="ns3:SharedWithDetails" minOccurs="0"/>
                <xsd:element ref="ns4:MediaServiceAutoKeyPoints" minOccurs="0"/>
                <xsd:element ref="ns4:MediaServiceKeyPoint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db92-627b-48f7-9c6b-b4b4d91d0cb3" elementFormDefault="qualified">
    <xsd:import namespace="http://schemas.microsoft.com/office/2006/documentManagement/types"/>
    <xsd:import namespace="http://schemas.microsoft.com/office/infopath/2007/PartnerControls"/>
    <xsd:element name="l0ac4d45f4074c6c9fcb16ef6f267c6a" ma:index="9" nillable="true" ma:taxonomy="true" ma:internalName="l0ac4d45f4074c6c9fcb16ef6f267c6a" ma:taxonomyFieldName="Category" ma:displayName="Category" ma:readOnly="false" ma:default="" ma:fieldId="{50ac4d45-f407-4c6c-9fcb-16ef6f267c6a}" ma:sspId="3110710f-af1f-4457-9596-69bff0e43749" ma:termSetId="d7bcd5be-7137-4dc1-ac21-0681888cb1a7" ma:anchorId="36f7837c-957c-4e6e-8c59-28f6e2ff5d8e"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37bba-396a-4b89-9278-299871981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21b4643-c79c-468f-a10c-e20a657de55c}" ma:internalName="TaxCatchAll" ma:showField="CatchAllData" ma:web="49537bba-396a-4b89-9278-29987198104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edad-cc25-4b40-81e4-27d55a83f2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g30dac63a17748b0a9e97cf603b6e73d" ma:index="14" nillable="true" ma:taxonomy="true" ma:internalName="g30dac63a17748b0a9e97cf603b6e73d" ma:taxonomyFieldName="Year" ma:displayName="Year" ma:default="" ma:fieldId="{030dac63-a177-48b0-a9e9-7cf603b6e73d}" ma:sspId="3110710f-af1f-4457-9596-69bff0e43749" ma:termSetId="479081fd-f391-4491-9a46-86091af7365e" ma:anchorId="00000000-0000-0000-0000-000000000000" ma:open="fals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0ac4d45f4074c6c9fcb16ef6f267c6a xmlns="780ddb92-627b-48f7-9c6b-b4b4d91d0cb3">
      <Terms xmlns="http://schemas.microsoft.com/office/infopath/2007/PartnerControls">
        <TermInfo xmlns="http://schemas.microsoft.com/office/infopath/2007/PartnerControls">
          <TermName xmlns="http://schemas.microsoft.com/office/infopath/2007/PartnerControls">Cost Estimate</TermName>
          <TermId xmlns="http://schemas.microsoft.com/office/infopath/2007/PartnerControls">dc8013c2-503b-4c11-b100-42410c844059</TermId>
        </TermInfo>
      </Terms>
    </l0ac4d45f4074c6c9fcb16ef6f267c6a>
    <TaxCatchAll xmlns="49537bba-396a-4b89-9278-29987198104d">
      <Value>17</Value>
      <Value>102</Value>
    </TaxCatchAll>
    <g30dac63a17748b0a9e97cf603b6e73d xmlns="f19aedad-cc25-4b40-81e4-27d55a83f2bf">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b1d0b0ad-d15a-4b6b-b9fc-441375c02043</TermId>
        </TermInfo>
      </Terms>
    </g30dac63a17748b0a9e97cf603b6e73d>
    <SharedWithUsers xmlns="49537bba-396a-4b89-9278-29987198104d">
      <UserInfo>
        <DisplayName>Margaret Copland (Oil &amp; Gas Authority)</DisplayName>
        <AccountId>28</AccountId>
        <AccountType/>
      </UserInfo>
      <UserInfo>
        <DisplayName>Kalina Zaton (Oil &amp; Gas Authority)</DisplayName>
        <AccountId>529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88B0BB-6875-4F54-B2B8-51B06B915EB3}">
  <ds:schemaRefs>
    <ds:schemaRef ds:uri="http://schemas.microsoft.com/sharepoint/v3/contenttype/forms"/>
  </ds:schemaRefs>
</ds:datastoreItem>
</file>

<file path=customXml/itemProps2.xml><?xml version="1.0" encoding="utf-8"?>
<ds:datastoreItem xmlns:ds="http://schemas.openxmlformats.org/officeDocument/2006/customXml" ds:itemID="{A698453F-B231-428E-9A79-F1353C185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db92-627b-48f7-9c6b-b4b4d91d0cb3"/>
    <ds:schemaRef ds:uri="49537bba-396a-4b89-9278-29987198104d"/>
    <ds:schemaRef ds:uri="f19aedad-cc25-4b40-81e4-27d55a83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65848-6EEB-44CA-B057-6F11FF811538}">
  <ds:schemaRefs>
    <ds:schemaRef ds:uri="http://schemas.microsoft.com/office/2006/metadata/properties"/>
    <ds:schemaRef ds:uri="http://schemas.microsoft.com/office/infopath/2007/PartnerControls"/>
    <ds:schemaRef ds:uri="780ddb92-627b-48f7-9c6b-b4b4d91d0cb3"/>
    <ds:schemaRef ds:uri="49537bba-396a-4b89-9278-29987198104d"/>
    <ds:schemaRef ds:uri="f19aedad-cc25-4b40-81e4-27d55a83f2bf"/>
  </ds:schemaRefs>
</ds:datastoreItem>
</file>

<file path=customXml/itemProps4.xml><?xml version="1.0" encoding="utf-8"?>
<ds:datastoreItem xmlns:ds="http://schemas.openxmlformats.org/officeDocument/2006/customXml" ds:itemID="{28BA9087-4E57-4578-ACD8-77842A18C062}">
  <ds:schemaRefs>
    <ds:schemaRef ds:uri="http://schemas.openxmlformats.org/officeDocument/2006/bibliography"/>
  </ds:schemaRefs>
</ds:datastoreItem>
</file>

<file path=customXml/itemProps5.xml><?xml version="1.0" encoding="utf-8"?>
<ds:datastoreItem xmlns:ds="http://schemas.openxmlformats.org/officeDocument/2006/customXml" ds:itemID="{3BC14788-BD67-4C98-9C45-317A173C61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Pages>
  <Words>3221</Words>
  <Characters>14559</Characters>
  <Application>Microsoft Office Word</Application>
  <DocSecurity>0</DocSecurity>
  <Lines>606</Lines>
  <Paragraphs>341</Paragraphs>
  <ScaleCrop>false</ScaleCrop>
  <HeadingPairs>
    <vt:vector size="2" baseType="variant">
      <vt:variant>
        <vt:lpstr>Title</vt:lpstr>
      </vt:variant>
      <vt:variant>
        <vt:i4>1</vt:i4>
      </vt:variant>
    </vt:vector>
  </HeadingPairs>
  <TitlesOfParts>
    <vt:vector size="1" baseType="lpstr">
      <vt:lpstr>Decommissioning Cost Estimate Report 2018</vt:lpstr>
    </vt:vector>
  </TitlesOfParts>
  <Company>Marathon Oil Corporation</Company>
  <LinksUpToDate>false</LinksUpToDate>
  <CharactersWithSpaces>17439</CharactersWithSpaces>
  <SharedDoc>false</SharedDoc>
  <HLinks>
    <vt:vector size="138" baseType="variant">
      <vt:variant>
        <vt:i4>1507390</vt:i4>
      </vt:variant>
      <vt:variant>
        <vt:i4>122</vt:i4>
      </vt:variant>
      <vt:variant>
        <vt:i4>0</vt:i4>
      </vt:variant>
      <vt:variant>
        <vt:i4>5</vt:i4>
      </vt:variant>
      <vt:variant>
        <vt:lpwstr/>
      </vt:variant>
      <vt:variant>
        <vt:lpwstr>_Toc85627572</vt:lpwstr>
      </vt:variant>
      <vt:variant>
        <vt:i4>1310782</vt:i4>
      </vt:variant>
      <vt:variant>
        <vt:i4>116</vt:i4>
      </vt:variant>
      <vt:variant>
        <vt:i4>0</vt:i4>
      </vt:variant>
      <vt:variant>
        <vt:i4>5</vt:i4>
      </vt:variant>
      <vt:variant>
        <vt:lpwstr/>
      </vt:variant>
      <vt:variant>
        <vt:lpwstr>_Toc85627571</vt:lpwstr>
      </vt:variant>
      <vt:variant>
        <vt:i4>1376318</vt:i4>
      </vt:variant>
      <vt:variant>
        <vt:i4>110</vt:i4>
      </vt:variant>
      <vt:variant>
        <vt:i4>0</vt:i4>
      </vt:variant>
      <vt:variant>
        <vt:i4>5</vt:i4>
      </vt:variant>
      <vt:variant>
        <vt:lpwstr/>
      </vt:variant>
      <vt:variant>
        <vt:lpwstr>_Toc85627570</vt:lpwstr>
      </vt:variant>
      <vt:variant>
        <vt:i4>1835071</vt:i4>
      </vt:variant>
      <vt:variant>
        <vt:i4>104</vt:i4>
      </vt:variant>
      <vt:variant>
        <vt:i4>0</vt:i4>
      </vt:variant>
      <vt:variant>
        <vt:i4>5</vt:i4>
      </vt:variant>
      <vt:variant>
        <vt:lpwstr/>
      </vt:variant>
      <vt:variant>
        <vt:lpwstr>_Toc85627569</vt:lpwstr>
      </vt:variant>
      <vt:variant>
        <vt:i4>1900607</vt:i4>
      </vt:variant>
      <vt:variant>
        <vt:i4>98</vt:i4>
      </vt:variant>
      <vt:variant>
        <vt:i4>0</vt:i4>
      </vt:variant>
      <vt:variant>
        <vt:i4>5</vt:i4>
      </vt:variant>
      <vt:variant>
        <vt:lpwstr/>
      </vt:variant>
      <vt:variant>
        <vt:lpwstr>_Toc85627568</vt:lpwstr>
      </vt:variant>
      <vt:variant>
        <vt:i4>1179711</vt:i4>
      </vt:variant>
      <vt:variant>
        <vt:i4>92</vt:i4>
      </vt:variant>
      <vt:variant>
        <vt:i4>0</vt:i4>
      </vt:variant>
      <vt:variant>
        <vt:i4>5</vt:i4>
      </vt:variant>
      <vt:variant>
        <vt:lpwstr/>
      </vt:variant>
      <vt:variant>
        <vt:lpwstr>_Toc85627567</vt:lpwstr>
      </vt:variant>
      <vt:variant>
        <vt:i4>1245247</vt:i4>
      </vt:variant>
      <vt:variant>
        <vt:i4>86</vt:i4>
      </vt:variant>
      <vt:variant>
        <vt:i4>0</vt:i4>
      </vt:variant>
      <vt:variant>
        <vt:i4>5</vt:i4>
      </vt:variant>
      <vt:variant>
        <vt:lpwstr/>
      </vt:variant>
      <vt:variant>
        <vt:lpwstr>_Toc85627566</vt:lpwstr>
      </vt:variant>
      <vt:variant>
        <vt:i4>1048639</vt:i4>
      </vt:variant>
      <vt:variant>
        <vt:i4>80</vt:i4>
      </vt:variant>
      <vt:variant>
        <vt:i4>0</vt:i4>
      </vt:variant>
      <vt:variant>
        <vt:i4>5</vt:i4>
      </vt:variant>
      <vt:variant>
        <vt:lpwstr/>
      </vt:variant>
      <vt:variant>
        <vt:lpwstr>_Toc85627565</vt:lpwstr>
      </vt:variant>
      <vt:variant>
        <vt:i4>1114175</vt:i4>
      </vt:variant>
      <vt:variant>
        <vt:i4>74</vt:i4>
      </vt:variant>
      <vt:variant>
        <vt:i4>0</vt:i4>
      </vt:variant>
      <vt:variant>
        <vt:i4>5</vt:i4>
      </vt:variant>
      <vt:variant>
        <vt:lpwstr/>
      </vt:variant>
      <vt:variant>
        <vt:lpwstr>_Toc85627564</vt:lpwstr>
      </vt:variant>
      <vt:variant>
        <vt:i4>1441855</vt:i4>
      </vt:variant>
      <vt:variant>
        <vt:i4>68</vt:i4>
      </vt:variant>
      <vt:variant>
        <vt:i4>0</vt:i4>
      </vt:variant>
      <vt:variant>
        <vt:i4>5</vt:i4>
      </vt:variant>
      <vt:variant>
        <vt:lpwstr/>
      </vt:variant>
      <vt:variant>
        <vt:lpwstr>_Toc85627563</vt:lpwstr>
      </vt:variant>
      <vt:variant>
        <vt:i4>1507391</vt:i4>
      </vt:variant>
      <vt:variant>
        <vt:i4>62</vt:i4>
      </vt:variant>
      <vt:variant>
        <vt:i4>0</vt:i4>
      </vt:variant>
      <vt:variant>
        <vt:i4>5</vt:i4>
      </vt:variant>
      <vt:variant>
        <vt:lpwstr/>
      </vt:variant>
      <vt:variant>
        <vt:lpwstr>_Toc85627562</vt:lpwstr>
      </vt:variant>
      <vt:variant>
        <vt:i4>1310783</vt:i4>
      </vt:variant>
      <vt:variant>
        <vt:i4>56</vt:i4>
      </vt:variant>
      <vt:variant>
        <vt:i4>0</vt:i4>
      </vt:variant>
      <vt:variant>
        <vt:i4>5</vt:i4>
      </vt:variant>
      <vt:variant>
        <vt:lpwstr/>
      </vt:variant>
      <vt:variant>
        <vt:lpwstr>_Toc85627561</vt:lpwstr>
      </vt:variant>
      <vt:variant>
        <vt:i4>1376319</vt:i4>
      </vt:variant>
      <vt:variant>
        <vt:i4>50</vt:i4>
      </vt:variant>
      <vt:variant>
        <vt:i4>0</vt:i4>
      </vt:variant>
      <vt:variant>
        <vt:i4>5</vt:i4>
      </vt:variant>
      <vt:variant>
        <vt:lpwstr/>
      </vt:variant>
      <vt:variant>
        <vt:lpwstr>_Toc85627560</vt:lpwstr>
      </vt:variant>
      <vt:variant>
        <vt:i4>1835068</vt:i4>
      </vt:variant>
      <vt:variant>
        <vt:i4>44</vt:i4>
      </vt:variant>
      <vt:variant>
        <vt:i4>0</vt:i4>
      </vt:variant>
      <vt:variant>
        <vt:i4>5</vt:i4>
      </vt:variant>
      <vt:variant>
        <vt:lpwstr/>
      </vt:variant>
      <vt:variant>
        <vt:lpwstr>_Toc85627559</vt:lpwstr>
      </vt:variant>
      <vt:variant>
        <vt:i4>1900604</vt:i4>
      </vt:variant>
      <vt:variant>
        <vt:i4>38</vt:i4>
      </vt:variant>
      <vt:variant>
        <vt:i4>0</vt:i4>
      </vt:variant>
      <vt:variant>
        <vt:i4>5</vt:i4>
      </vt:variant>
      <vt:variant>
        <vt:lpwstr/>
      </vt:variant>
      <vt:variant>
        <vt:lpwstr>_Toc85627558</vt:lpwstr>
      </vt:variant>
      <vt:variant>
        <vt:i4>1179708</vt:i4>
      </vt:variant>
      <vt:variant>
        <vt:i4>32</vt:i4>
      </vt:variant>
      <vt:variant>
        <vt:i4>0</vt:i4>
      </vt:variant>
      <vt:variant>
        <vt:i4>5</vt:i4>
      </vt:variant>
      <vt:variant>
        <vt:lpwstr/>
      </vt:variant>
      <vt:variant>
        <vt:lpwstr>_Toc85627557</vt:lpwstr>
      </vt:variant>
      <vt:variant>
        <vt:i4>1245244</vt:i4>
      </vt:variant>
      <vt:variant>
        <vt:i4>26</vt:i4>
      </vt:variant>
      <vt:variant>
        <vt:i4>0</vt:i4>
      </vt:variant>
      <vt:variant>
        <vt:i4>5</vt:i4>
      </vt:variant>
      <vt:variant>
        <vt:lpwstr/>
      </vt:variant>
      <vt:variant>
        <vt:lpwstr>_Toc85627556</vt:lpwstr>
      </vt:variant>
      <vt:variant>
        <vt:i4>1048636</vt:i4>
      </vt:variant>
      <vt:variant>
        <vt:i4>20</vt:i4>
      </vt:variant>
      <vt:variant>
        <vt:i4>0</vt:i4>
      </vt:variant>
      <vt:variant>
        <vt:i4>5</vt:i4>
      </vt:variant>
      <vt:variant>
        <vt:lpwstr/>
      </vt:variant>
      <vt:variant>
        <vt:lpwstr>_Toc85627555</vt:lpwstr>
      </vt:variant>
      <vt:variant>
        <vt:i4>1114172</vt:i4>
      </vt:variant>
      <vt:variant>
        <vt:i4>14</vt:i4>
      </vt:variant>
      <vt:variant>
        <vt:i4>0</vt:i4>
      </vt:variant>
      <vt:variant>
        <vt:i4>5</vt:i4>
      </vt:variant>
      <vt:variant>
        <vt:lpwstr/>
      </vt:variant>
      <vt:variant>
        <vt:lpwstr>_Toc85627554</vt:lpwstr>
      </vt:variant>
      <vt:variant>
        <vt:i4>1441852</vt:i4>
      </vt:variant>
      <vt:variant>
        <vt:i4>8</vt:i4>
      </vt:variant>
      <vt:variant>
        <vt:i4>0</vt:i4>
      </vt:variant>
      <vt:variant>
        <vt:i4>5</vt:i4>
      </vt:variant>
      <vt:variant>
        <vt:lpwstr/>
      </vt:variant>
      <vt:variant>
        <vt:lpwstr>_Toc85627553</vt:lpwstr>
      </vt:variant>
      <vt:variant>
        <vt:i4>1507388</vt:i4>
      </vt:variant>
      <vt:variant>
        <vt:i4>2</vt:i4>
      </vt:variant>
      <vt:variant>
        <vt:i4>0</vt:i4>
      </vt:variant>
      <vt:variant>
        <vt:i4>5</vt:i4>
      </vt:variant>
      <vt:variant>
        <vt:lpwstr/>
      </vt:variant>
      <vt:variant>
        <vt:lpwstr>_Toc85627552</vt:lpwstr>
      </vt:variant>
      <vt:variant>
        <vt:i4>4522074</vt:i4>
      </vt:variant>
      <vt:variant>
        <vt:i4>3</vt:i4>
      </vt:variant>
      <vt:variant>
        <vt:i4>0</vt:i4>
      </vt:variant>
      <vt:variant>
        <vt:i4>5</vt:i4>
      </vt:variant>
      <vt:variant>
        <vt:lpwstr>https://www.ogauthority.co.uk/data-centre/interactive-maps-and-tools/</vt:lpwstr>
      </vt:variant>
      <vt:variant>
        <vt:lpwstr/>
      </vt:variant>
      <vt:variant>
        <vt:i4>3342370</vt:i4>
      </vt:variant>
      <vt:variant>
        <vt:i4>0</vt:i4>
      </vt:variant>
      <vt:variant>
        <vt:i4>0</vt:i4>
      </vt:variant>
      <vt:variant>
        <vt:i4>5</vt:i4>
      </vt:variant>
      <vt:variant>
        <vt:lpwstr>https://www.ogauthority.co.uk/news-publications/publications/2021/ukcs-decommissioning-cost-estimate-2021/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Decommissioning Cost Estimate Report 2018</dc:title>
  <dc:subject/>
  <dc:creator>Ian.Fozdar@ogauthority.co.uk</dc:creator>
  <cp:keywords/>
  <dc:description/>
  <cp:lastModifiedBy>Alasdair Thomas (Oil &amp; Gas Authority)</cp:lastModifiedBy>
  <cp:revision>1040</cp:revision>
  <cp:lastPrinted>2019-06-26T15:38:00Z</cp:lastPrinted>
  <dcterms:created xsi:type="dcterms:W3CDTF">2021-10-01T11:51:00Z</dcterms:created>
  <dcterms:modified xsi:type="dcterms:W3CDTF">2022-01-11T14:18:00Z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OGAUTH-196346287-2184</vt:lpwstr>
  </property>
  <property fmtid="{D5CDD505-2E9C-101B-9397-08002B2CF9AE}" pid="3" name="_dlc_DocIdItemGuid">
    <vt:lpwstr>523b23a6-5851-4f28-86c5-df0ac076afc3</vt:lpwstr>
  </property>
  <property fmtid="{D5CDD505-2E9C-101B-9397-08002B2CF9AE}" pid="4" name="_dlc_DocIdUrl">
    <vt:lpwstr>https://ogauthority.sharepoint.com/sites/ecm/DGE/_layouts/15/DocIdRedir.aspx?ID=OGAUTH-196346287-2184, OGAUTH-196346287-2184</vt:lpwstr>
  </property>
  <property fmtid="{D5CDD505-2E9C-101B-9397-08002B2CF9AE}" pid="5" name="Original Doc ID">
    <vt:lpwstr>DECCOGD-10-4</vt:lpwstr>
  </property>
  <property fmtid="{D5CDD505-2E9C-101B-9397-08002B2CF9AE}" pid="6" name="Matrix Title">
    <vt:lpwstr/>
  </property>
  <property fmtid="{D5CDD505-2E9C-101B-9397-08002B2CF9AE}" pid="7" name="Owner Location">
    <vt:lpwstr/>
  </property>
  <property fmtid="{D5CDD505-2E9C-101B-9397-08002B2CF9AE}" pid="8" name="Date Registered">
    <vt:lpwstr/>
  </property>
  <property fmtid="{D5CDD505-2E9C-101B-9397-08002B2CF9AE}" pid="9" name="Folder Number">
    <vt:lpwstr/>
  </property>
  <property fmtid="{D5CDD505-2E9C-101B-9397-08002B2CF9AE}" pid="10" name="TRIM Barcode">
    <vt:lpwstr/>
  </property>
  <property fmtid="{D5CDD505-2E9C-101B-9397-08002B2CF9AE}" pid="11" name="Alternative Folders">
    <vt:lpwstr/>
  </property>
  <property fmtid="{D5CDD505-2E9C-101B-9397-08002B2CF9AE}" pid="12" name="ISBN">
    <vt:lpwstr/>
  </property>
  <property fmtid="{D5CDD505-2E9C-101B-9397-08002B2CF9AE}" pid="13" name="Descriptor">
    <vt:lpwstr/>
  </property>
  <property fmtid="{D5CDD505-2E9C-101B-9397-08002B2CF9AE}" pid="14" name="ISSN">
    <vt:lpwstr/>
  </property>
  <property fmtid="{D5CDD505-2E9C-101B-9397-08002B2CF9AE}" pid="15" name="Document Number">
    <vt:lpwstr/>
  </property>
  <property fmtid="{D5CDD505-2E9C-101B-9397-08002B2CF9AE}" pid="16" name="Non-Matrix Author">
    <vt:lpwstr/>
  </property>
  <property fmtid="{D5CDD505-2E9C-101B-9397-08002B2CF9AE}" pid="17" name="Protective Marking">
    <vt:lpwstr/>
  </property>
  <property fmtid="{D5CDD505-2E9C-101B-9397-08002B2CF9AE}" pid="18" name="Related Records">
    <vt:lpwstr/>
  </property>
  <property fmtid="{D5CDD505-2E9C-101B-9397-08002B2CF9AE}" pid="19" name="Linked Documents">
    <vt:lpwstr/>
  </property>
  <property fmtid="{D5CDD505-2E9C-101B-9397-08002B2CF9AE}" pid="20" name="Document Notes">
    <vt:lpwstr/>
  </property>
  <property fmtid="{D5CDD505-2E9C-101B-9397-08002B2CF9AE}" pid="21" name="Old ISSN">
    <vt:lpwstr/>
  </property>
  <property fmtid="{D5CDD505-2E9C-101B-9397-08002B2CF9AE}" pid="22" name="Physical Format">
    <vt:lpwstr/>
  </property>
  <property fmtid="{D5CDD505-2E9C-101B-9397-08002B2CF9AE}" pid="23" name="Record Type">
    <vt:lpwstr/>
  </property>
  <property fmtid="{D5CDD505-2E9C-101B-9397-08002B2CF9AE}" pid="24" name="Matrix Author">
    <vt:lpwstr/>
  </property>
  <property fmtid="{D5CDD505-2E9C-101B-9397-08002B2CF9AE}" pid="25" name="URN">
    <vt:lpwstr/>
  </property>
  <property fmtid="{D5CDD505-2E9C-101B-9397-08002B2CF9AE}" pid="26" name="Location Of Original Source Document">
    <vt:lpwstr/>
  </property>
  <property fmtid="{D5CDD505-2E9C-101B-9397-08002B2CF9AE}" pid="27" name="Old ISBN">
    <vt:lpwstr/>
  </property>
  <property fmtid="{D5CDD505-2E9C-101B-9397-08002B2CF9AE}" pid="28" name="Foreign Barcode">
    <vt:lpwstr/>
  </property>
  <property fmtid="{D5CDD505-2E9C-101B-9397-08002B2CF9AE}" pid="29" name="Registered By">
    <vt:lpwstr/>
  </property>
  <property fmtid="{D5CDD505-2E9C-101B-9397-08002B2CF9AE}" pid="30" name="ContentTypeId">
    <vt:lpwstr>0x010100B998EECFBE7C3340925850D0EE792797</vt:lpwstr>
  </property>
  <property fmtid="{D5CDD505-2E9C-101B-9397-08002B2CF9AE}" pid="31" name="Request Type">
    <vt:lpwstr/>
  </property>
  <property fmtid="{D5CDD505-2E9C-101B-9397-08002B2CF9AE}" pid="32" name="Case Reference Number">
    <vt:lpwstr/>
  </property>
  <property fmtid="{D5CDD505-2E9C-101B-9397-08002B2CF9AE}" pid="33" name="Document Security Classification">
    <vt:lpwstr>Official</vt:lpwstr>
  </property>
  <property fmtid="{D5CDD505-2E9C-101B-9397-08002B2CF9AE}" pid="34" name="Folder ID">
    <vt:lpwstr/>
  </property>
  <property fmtid="{D5CDD505-2E9C-101B-9397-08002B2CF9AE}" pid="35" name="Minister">
    <vt:lpwstr/>
  </property>
  <property fmtid="{D5CDD505-2E9C-101B-9397-08002B2CF9AE}" pid="36" name="MP">
    <vt:lpwstr/>
  </property>
  <property fmtid="{D5CDD505-2E9C-101B-9397-08002B2CF9AE}" pid="37" name="Category">
    <vt:lpwstr>17;#Cost Estimate|dc8013c2-503b-4c11-b100-42410c844059</vt:lpwstr>
  </property>
  <property fmtid="{D5CDD505-2E9C-101B-9397-08002B2CF9AE}" pid="38" name="Year">
    <vt:lpwstr>102;#2019|b1d0b0ad-d15a-4b6b-b9fc-441375c02043</vt:lpwstr>
  </property>
</Properties>
</file>