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2"/>
        <w:tblW w:w="5000" w:type="pct"/>
        <w:tblLook w:val="04A0" w:firstRow="1" w:lastRow="0" w:firstColumn="1" w:lastColumn="0" w:noHBand="0" w:noVBand="1"/>
      </w:tblPr>
      <w:tblGrid>
        <w:gridCol w:w="9026"/>
      </w:tblGrid>
      <w:tr w:rsidR="001916CE" w:rsidRPr="00FA737C" w14:paraId="49B2DF22" w14:textId="77777777" w:rsidTr="00532318">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5000" w:type="pct"/>
          </w:tcPr>
          <w:p w14:paraId="31E7BCA8" w14:textId="5B44A545" w:rsidR="001916CE" w:rsidRPr="00FA737C" w:rsidRDefault="00595768" w:rsidP="00C02757">
            <w:pPr>
              <w:pStyle w:val="NoSpacing"/>
              <w:rPr>
                <w:rFonts w:ascii="Arial" w:eastAsiaTheme="majorEastAsia" w:hAnsi="Arial" w:cs="Arial"/>
                <w:caps/>
                <w:sz w:val="24"/>
                <w:szCs w:val="24"/>
                <w:lang w:val="en-GB" w:eastAsia="en-US"/>
              </w:rPr>
            </w:pPr>
            <w:r>
              <w:rPr>
                <w:noProof/>
                <w:lang w:eastAsia="en-GB"/>
              </w:rPr>
              <w:drawing>
                <wp:inline distT="0" distB="0" distL="0" distR="0" wp14:anchorId="71FE065C" wp14:editId="390A6580">
                  <wp:extent cx="1043940" cy="1043940"/>
                  <wp:effectExtent l="0" t="0" r="3810" b="3810"/>
                  <wp:docPr id="4" name="Picture 4" descr="NS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TA 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p>
          <w:p w14:paraId="223D3859" w14:textId="77777777" w:rsidR="003102AE" w:rsidRPr="00FA737C" w:rsidRDefault="003102AE" w:rsidP="00C02757">
            <w:pPr>
              <w:pStyle w:val="NoSpacing"/>
              <w:rPr>
                <w:rFonts w:ascii="Arial" w:eastAsiaTheme="majorEastAsia" w:hAnsi="Arial" w:cs="Arial"/>
                <w:caps/>
                <w:sz w:val="24"/>
                <w:szCs w:val="24"/>
                <w:lang w:val="en-GB" w:eastAsia="en-US"/>
              </w:rPr>
            </w:pPr>
          </w:p>
          <w:p w14:paraId="21A77478" w14:textId="77777777" w:rsidR="003102AE" w:rsidRPr="00FA737C" w:rsidRDefault="003102AE" w:rsidP="00C02757">
            <w:pPr>
              <w:pStyle w:val="NoSpacing"/>
              <w:rPr>
                <w:rFonts w:ascii="Arial" w:eastAsiaTheme="majorEastAsia" w:hAnsi="Arial" w:cs="Arial"/>
                <w:caps/>
                <w:sz w:val="24"/>
                <w:szCs w:val="24"/>
                <w:lang w:val="en-GB" w:eastAsia="en-US"/>
              </w:rPr>
            </w:pPr>
          </w:p>
          <w:p w14:paraId="302BD3AC" w14:textId="77777777" w:rsidR="003102AE" w:rsidRPr="00FA737C" w:rsidRDefault="003102AE" w:rsidP="00C02757">
            <w:pPr>
              <w:pStyle w:val="NoSpacing"/>
              <w:rPr>
                <w:rFonts w:ascii="Arial" w:eastAsiaTheme="majorEastAsia" w:hAnsi="Arial" w:cs="Arial"/>
                <w:caps/>
                <w:sz w:val="24"/>
                <w:szCs w:val="24"/>
                <w:lang w:val="en-GB" w:eastAsia="en-US"/>
              </w:rPr>
            </w:pPr>
          </w:p>
          <w:p w14:paraId="1C642A2E" w14:textId="77777777" w:rsidR="003102AE" w:rsidRPr="00FA737C" w:rsidRDefault="003102AE" w:rsidP="00441583">
            <w:pPr>
              <w:pStyle w:val="NoSpacing"/>
              <w:jc w:val="center"/>
              <w:rPr>
                <w:rFonts w:ascii="Arial" w:eastAsiaTheme="majorEastAsia" w:hAnsi="Arial" w:cs="Arial"/>
                <w:caps/>
              </w:rPr>
            </w:pPr>
          </w:p>
        </w:tc>
      </w:tr>
      <w:tr w:rsidR="001916CE" w:rsidRPr="00FA737C" w14:paraId="664E9958" w14:textId="77777777" w:rsidTr="00532318">
        <w:trPr>
          <w:cnfStyle w:val="000000100000" w:firstRow="0" w:lastRow="0" w:firstColumn="0" w:lastColumn="0" w:oddVBand="0" w:evenVBand="0" w:oddHBand="1" w:evenHBand="0" w:firstRowFirstColumn="0" w:firstRowLastColumn="0" w:lastRowFirstColumn="0" w:lastRowLastColumn="0"/>
          <w:trHeight w:val="1440"/>
        </w:trPr>
        <w:sdt>
          <w:sdtPr>
            <w:rPr>
              <w:rFonts w:ascii="Arial" w:hAnsi="Arial" w:cs="Arial"/>
              <w:sz w:val="52"/>
              <w:szCs w:val="5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cnfStyle w:val="001000000000" w:firstRow="0" w:lastRow="0" w:firstColumn="1" w:lastColumn="0" w:oddVBand="0" w:evenVBand="0" w:oddHBand="0" w:evenHBand="0" w:firstRowFirstColumn="0" w:firstRowLastColumn="0" w:lastRowFirstColumn="0" w:lastRowLastColumn="0"/>
                <w:tcW w:w="5000" w:type="pct"/>
              </w:tcPr>
              <w:p w14:paraId="6E26EC92" w14:textId="77777777" w:rsidR="001916CE" w:rsidRPr="00FA737C" w:rsidRDefault="001916CE" w:rsidP="001916CE">
                <w:pPr>
                  <w:pStyle w:val="NoSpacing"/>
                  <w:jc w:val="center"/>
                  <w:rPr>
                    <w:rFonts w:ascii="Arial" w:eastAsiaTheme="majorEastAsia" w:hAnsi="Arial" w:cs="Arial"/>
                    <w:sz w:val="80"/>
                    <w:szCs w:val="80"/>
                  </w:rPr>
                </w:pPr>
                <w:r w:rsidRPr="00FA737C">
                  <w:rPr>
                    <w:rFonts w:ascii="Arial" w:hAnsi="Arial" w:cs="Arial"/>
                    <w:sz w:val="52"/>
                    <w:szCs w:val="52"/>
                  </w:rPr>
                  <w:t>Decommissioning Variation Application</w:t>
                </w:r>
              </w:p>
            </w:tc>
          </w:sdtContent>
        </w:sdt>
      </w:tr>
      <w:tr w:rsidR="001916CE" w:rsidRPr="00FA737C" w14:paraId="549C261C" w14:textId="77777777" w:rsidTr="00532318">
        <w:trPr>
          <w:trHeight w:val="720"/>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cnfStyle w:val="001000000000" w:firstRow="0" w:lastRow="0" w:firstColumn="1" w:lastColumn="0" w:oddVBand="0" w:evenVBand="0" w:oddHBand="0" w:evenHBand="0" w:firstRowFirstColumn="0" w:firstRowLastColumn="0" w:lastRowFirstColumn="0" w:lastRowLastColumn="0"/>
                <w:tcW w:w="5000" w:type="pct"/>
              </w:tcPr>
              <w:p w14:paraId="705DABFE" w14:textId="77777777" w:rsidR="001916CE" w:rsidRPr="00FA737C" w:rsidRDefault="001916CE" w:rsidP="001916CE">
                <w:pPr>
                  <w:pStyle w:val="NoSpacing"/>
                  <w:jc w:val="center"/>
                  <w:rPr>
                    <w:rFonts w:ascii="Arial" w:eastAsiaTheme="majorEastAsia" w:hAnsi="Arial" w:cs="Arial"/>
                    <w:sz w:val="44"/>
                    <w:szCs w:val="44"/>
                  </w:rPr>
                </w:pPr>
                <w:r w:rsidRPr="00FA737C">
                  <w:rPr>
                    <w:rFonts w:ascii="Arial" w:eastAsiaTheme="majorEastAsia" w:hAnsi="Arial" w:cs="Arial"/>
                    <w:sz w:val="44"/>
                    <w:szCs w:val="44"/>
                  </w:rPr>
                  <w:t>Advice to Industry</w:t>
                </w:r>
              </w:p>
            </w:tc>
          </w:sdtContent>
        </w:sdt>
      </w:tr>
      <w:tr w:rsidR="001916CE" w:rsidRPr="00FA737C" w14:paraId="1C29236C" w14:textId="77777777" w:rsidTr="0053231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tcPr>
          <w:p w14:paraId="056EDD50" w14:textId="77777777" w:rsidR="001916CE" w:rsidRPr="00FA737C" w:rsidRDefault="001916CE">
            <w:pPr>
              <w:pStyle w:val="NoSpacing"/>
              <w:jc w:val="center"/>
              <w:rPr>
                <w:rFonts w:ascii="Arial" w:hAnsi="Arial" w:cs="Arial"/>
              </w:rPr>
            </w:pPr>
          </w:p>
          <w:p w14:paraId="092CF113" w14:textId="77777777" w:rsidR="003102AE" w:rsidRPr="00FA737C" w:rsidRDefault="003102AE">
            <w:pPr>
              <w:pStyle w:val="NoSpacing"/>
              <w:jc w:val="center"/>
              <w:rPr>
                <w:rFonts w:ascii="Arial" w:hAnsi="Arial" w:cs="Arial"/>
              </w:rPr>
            </w:pPr>
          </w:p>
        </w:tc>
      </w:tr>
      <w:tr w:rsidR="001916CE" w:rsidRPr="00FA737C" w14:paraId="2FB37DBE" w14:textId="77777777" w:rsidTr="00532318">
        <w:trPr>
          <w:trHeight w:val="360"/>
        </w:trPr>
        <w:tc>
          <w:tcPr>
            <w:cnfStyle w:val="001000000000" w:firstRow="0" w:lastRow="0" w:firstColumn="1" w:lastColumn="0" w:oddVBand="0" w:evenVBand="0" w:oddHBand="0" w:evenHBand="0" w:firstRowFirstColumn="0" w:firstRowLastColumn="0" w:lastRowFirstColumn="0" w:lastRowLastColumn="0"/>
            <w:tcW w:w="5000" w:type="pct"/>
          </w:tcPr>
          <w:p w14:paraId="71409E94" w14:textId="6BACA26D" w:rsidR="001916CE" w:rsidRPr="00FA737C" w:rsidRDefault="00B72D5A" w:rsidP="002622F1">
            <w:pPr>
              <w:pStyle w:val="NoSpacing"/>
              <w:jc w:val="center"/>
              <w:rPr>
                <w:rFonts w:ascii="Arial" w:hAnsi="Arial" w:cs="Arial"/>
                <w:b w:val="0"/>
                <w:bCs w:val="0"/>
                <w:sz w:val="32"/>
                <w:szCs w:val="32"/>
              </w:rPr>
            </w:pPr>
            <w:r>
              <w:rPr>
                <w:rFonts w:ascii="Arial" w:hAnsi="Arial" w:cs="Arial"/>
                <w:sz w:val="32"/>
                <w:szCs w:val="32"/>
              </w:rPr>
              <w:t>May 2022</w:t>
            </w:r>
          </w:p>
          <w:p w14:paraId="57108462" w14:textId="28A73344" w:rsidR="00A95ECE" w:rsidRPr="00FA737C" w:rsidRDefault="00A95ECE" w:rsidP="002622F1">
            <w:pPr>
              <w:pStyle w:val="NoSpacing"/>
              <w:jc w:val="center"/>
              <w:rPr>
                <w:rFonts w:ascii="Arial" w:hAnsi="Arial" w:cs="Arial"/>
                <w:b w:val="0"/>
                <w:bCs w:val="0"/>
                <w:sz w:val="28"/>
                <w:szCs w:val="28"/>
              </w:rPr>
            </w:pPr>
            <w:r w:rsidRPr="00FA737C">
              <w:rPr>
                <w:rFonts w:ascii="Arial" w:hAnsi="Arial" w:cs="Arial"/>
                <w:sz w:val="28"/>
                <w:szCs w:val="28"/>
              </w:rPr>
              <w:t xml:space="preserve">Version </w:t>
            </w:r>
            <w:r w:rsidR="00B72D5A">
              <w:rPr>
                <w:rFonts w:ascii="Arial" w:hAnsi="Arial" w:cs="Arial"/>
                <w:sz w:val="28"/>
                <w:szCs w:val="28"/>
              </w:rPr>
              <w:t>3</w:t>
            </w:r>
          </w:p>
        </w:tc>
      </w:tr>
    </w:tbl>
    <w:p w14:paraId="13EBA935" w14:textId="77777777" w:rsidR="001916CE" w:rsidRPr="00FA737C" w:rsidRDefault="001916CE"/>
    <w:p w14:paraId="52C71F29" w14:textId="77777777" w:rsidR="001916CE" w:rsidRPr="00FA737C" w:rsidRDefault="007F7F24" w:rsidP="00C02757">
      <w:pPr>
        <w:jc w:val="center"/>
      </w:pPr>
      <w:r w:rsidRPr="00FA737C">
        <w:rPr>
          <w:noProof/>
          <w:lang w:eastAsia="en-GB"/>
        </w:rPr>
        <w:drawing>
          <wp:inline distT="0" distB="0" distL="0" distR="0" wp14:anchorId="602C4B40" wp14:editId="0CBF3751">
            <wp:extent cx="4705350" cy="3382645"/>
            <wp:effectExtent l="19050" t="19050" r="247650" b="236855"/>
            <wp:docPr id="3" name="Picture 3" descr="Front cover picture of oil platform and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ront cover picture of oil platform and equip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5350" cy="3382645"/>
                    </a:xfrm>
                    <a:prstGeom prst="rect">
                      <a:avLst/>
                    </a:prstGeom>
                    <a:ln>
                      <a:noFill/>
                    </a:ln>
                    <a:effectLst>
                      <a:outerShdw blurRad="190500" dist="228600" dir="2700000" algn="ctr">
                        <a:srgbClr val="000000">
                          <a:alpha val="30000"/>
                        </a:srgbClr>
                      </a:outerShdw>
                      <a:softEdge rad="127000"/>
                    </a:effectLst>
                  </pic:spPr>
                </pic:pic>
              </a:graphicData>
            </a:graphic>
          </wp:inline>
        </w:drawing>
      </w:r>
    </w:p>
    <w:tbl>
      <w:tblPr>
        <w:tblStyle w:val="GridTable2"/>
        <w:tblpPr w:leftFromText="187" w:rightFromText="187" w:horzAnchor="margin" w:tblpXSpec="center" w:tblpYSpec="bottom"/>
        <w:tblW w:w="5000" w:type="pct"/>
        <w:tblLook w:val="04A0" w:firstRow="1" w:lastRow="0" w:firstColumn="1" w:lastColumn="0" w:noHBand="0" w:noVBand="1"/>
      </w:tblPr>
      <w:tblGrid>
        <w:gridCol w:w="9026"/>
      </w:tblGrid>
      <w:tr w:rsidR="001916CE" w:rsidRPr="00FA737C" w14:paraId="62798C6D" w14:textId="77777777" w:rsidTr="00532318">
        <w:trPr>
          <w:cnfStyle w:val="100000000000" w:firstRow="1" w:lastRow="0" w:firstColumn="0" w:lastColumn="0" w:oddVBand="0" w:evenVBand="0" w:oddHBand="0" w:evenHBand="0" w:firstRowFirstColumn="0" w:firstRowLastColumn="0" w:lastRowFirstColumn="0" w:lastRowLastColumn="0"/>
        </w:trPr>
        <w:sdt>
          <w:sdtPr>
            <w:rPr>
              <w:rFonts w:ascii="Arial" w:eastAsia="Times New Roman" w:hAnsi="Arial" w:cs="Arial"/>
              <w:sz w:val="24"/>
              <w:szCs w:val="24"/>
              <w:lang w:eastAsia="en-GB"/>
            </w:rPr>
            <w:alias w:val="Abstract"/>
            <w:id w:val="8276291"/>
            <w:dataBinding w:prefixMappings="xmlns:ns0='http://schemas.microsoft.com/office/2006/coverPageProps'" w:xpath="/ns0:CoverPageProperties[1]/ns0:Abstract[1]" w:storeItemID="{55AF091B-3C7A-41E3-B477-F2FDAA23CFDA}"/>
            <w:text/>
          </w:sdtPr>
          <w:sdtContent>
            <w:tc>
              <w:tcPr>
                <w:cnfStyle w:val="001000000000" w:firstRow="0" w:lastRow="0" w:firstColumn="1" w:lastColumn="0" w:oddVBand="0" w:evenVBand="0" w:oddHBand="0" w:evenHBand="0" w:firstRowFirstColumn="0" w:firstRowLastColumn="0" w:lastRowFirstColumn="0" w:lastRowLastColumn="0"/>
                <w:tcW w:w="5000" w:type="pct"/>
              </w:tcPr>
              <w:p w14:paraId="3C03379E" w14:textId="77777777" w:rsidR="001916CE" w:rsidRPr="00FA737C" w:rsidRDefault="00033BEF" w:rsidP="00033BEF">
                <w:pPr>
                  <w:pStyle w:val="NoSpacing"/>
                  <w:jc w:val="center"/>
                  <w:rPr>
                    <w:rFonts w:ascii="Arial" w:hAnsi="Arial" w:cs="Arial"/>
                    <w:sz w:val="24"/>
                    <w:szCs w:val="24"/>
                  </w:rPr>
                </w:pPr>
                <w:r w:rsidRPr="00FA737C">
                  <w:rPr>
                    <w:rFonts w:ascii="Arial" w:eastAsia="Times New Roman" w:hAnsi="Arial" w:cs="Arial"/>
                    <w:sz w:val="24"/>
                    <w:szCs w:val="24"/>
                    <w:lang w:eastAsia="en-GB"/>
                  </w:rPr>
                  <w:t xml:space="preserve"> Guidance and advice document for planning proposed subsea pipeline works </w:t>
                </w:r>
                <w:r w:rsidR="00B91C9A" w:rsidRPr="00FA737C">
                  <w:rPr>
                    <w:rFonts w:ascii="Arial" w:eastAsia="Times New Roman" w:hAnsi="Arial" w:cs="Arial"/>
                    <w:sz w:val="24"/>
                    <w:szCs w:val="24"/>
                    <w:lang w:eastAsia="en-GB"/>
                  </w:rPr>
                  <w:t>associated with decommissioning</w:t>
                </w:r>
                <w:r w:rsidRPr="00FA737C">
                  <w:rPr>
                    <w:rFonts w:ascii="Arial" w:eastAsia="Times New Roman" w:hAnsi="Arial" w:cs="Arial"/>
                    <w:sz w:val="24"/>
                    <w:szCs w:val="24"/>
                    <w:lang w:eastAsia="en-GB"/>
                  </w:rPr>
                  <w:t>.</w:t>
                </w:r>
              </w:p>
            </w:tc>
          </w:sdtContent>
        </w:sdt>
      </w:tr>
    </w:tbl>
    <w:p w14:paraId="6C0D1E3E" w14:textId="77777777" w:rsidR="001916CE" w:rsidRPr="00FA737C" w:rsidRDefault="001916CE">
      <w:r w:rsidRPr="00FA737C">
        <w:br w:type="page"/>
      </w:r>
    </w:p>
    <w:sdt>
      <w:sdtPr>
        <w:rPr>
          <w:rFonts w:ascii="Arial" w:eastAsiaTheme="minorEastAsia" w:hAnsi="Arial" w:cs="Arial"/>
          <w:b w:val="0"/>
          <w:bCs w:val="0"/>
          <w:color w:val="auto"/>
          <w:sz w:val="24"/>
          <w:szCs w:val="24"/>
          <w:lang w:val="en-GB" w:eastAsia="en-US"/>
        </w:rPr>
        <w:id w:val="-937598238"/>
        <w:docPartObj>
          <w:docPartGallery w:val="Table of Contents"/>
          <w:docPartUnique/>
        </w:docPartObj>
      </w:sdtPr>
      <w:sdtEndPr>
        <w:rPr>
          <w:noProof/>
        </w:rPr>
      </w:sdtEndPr>
      <w:sdtContent>
        <w:p w14:paraId="4E4E18E6" w14:textId="77777777" w:rsidR="00FF114C" w:rsidRPr="00FA737C" w:rsidRDefault="00FF114C">
          <w:pPr>
            <w:pStyle w:val="TOCHeading"/>
            <w:rPr>
              <w:rFonts w:ascii="Arial" w:hAnsi="Arial" w:cs="Arial"/>
              <w:color w:val="auto"/>
            </w:rPr>
          </w:pPr>
          <w:r w:rsidRPr="00FA737C">
            <w:rPr>
              <w:rFonts w:ascii="Arial" w:hAnsi="Arial" w:cs="Arial"/>
              <w:color w:val="auto"/>
            </w:rPr>
            <w:t>Contents</w:t>
          </w:r>
        </w:p>
        <w:p w14:paraId="251E0A72" w14:textId="77777777" w:rsidR="00623CB4" w:rsidRPr="00FA737C" w:rsidRDefault="00FF114C">
          <w:pPr>
            <w:pStyle w:val="TOC1"/>
            <w:tabs>
              <w:tab w:val="right" w:leader="dot" w:pos="9016"/>
            </w:tabs>
            <w:rPr>
              <w:rFonts w:eastAsiaTheme="minorEastAsia"/>
              <w:noProof/>
              <w:sz w:val="22"/>
              <w:szCs w:val="22"/>
              <w:lang w:eastAsia="en-GB"/>
            </w:rPr>
          </w:pPr>
          <w:r w:rsidRPr="00FA737C">
            <w:fldChar w:fldCharType="begin"/>
          </w:r>
          <w:r w:rsidRPr="00FA737C">
            <w:instrText xml:space="preserve"> TOC \o "1-3" \h \z \u </w:instrText>
          </w:r>
          <w:r w:rsidRPr="00FA737C">
            <w:fldChar w:fldCharType="separate"/>
          </w:r>
          <w:hyperlink w:anchor="_Toc464634966" w:history="1">
            <w:r w:rsidR="00623CB4" w:rsidRPr="00FA737C">
              <w:rPr>
                <w:rStyle w:val="Hyperlink"/>
                <w:noProof/>
              </w:rPr>
              <w:t>Abbreviations</w:t>
            </w:r>
            <w:r w:rsidR="00623CB4" w:rsidRPr="00FA737C">
              <w:rPr>
                <w:noProof/>
                <w:webHidden/>
              </w:rPr>
              <w:tab/>
            </w:r>
            <w:r w:rsidR="00623CB4" w:rsidRPr="00FA737C">
              <w:rPr>
                <w:noProof/>
                <w:webHidden/>
              </w:rPr>
              <w:fldChar w:fldCharType="begin"/>
            </w:r>
            <w:r w:rsidR="00623CB4" w:rsidRPr="00FA737C">
              <w:rPr>
                <w:noProof/>
                <w:webHidden/>
              </w:rPr>
              <w:instrText xml:space="preserve"> PAGEREF _Toc464634966 \h </w:instrText>
            </w:r>
            <w:r w:rsidR="00623CB4" w:rsidRPr="00FA737C">
              <w:rPr>
                <w:noProof/>
                <w:webHidden/>
              </w:rPr>
            </w:r>
            <w:r w:rsidR="00623CB4" w:rsidRPr="00FA737C">
              <w:rPr>
                <w:noProof/>
                <w:webHidden/>
              </w:rPr>
              <w:fldChar w:fldCharType="separate"/>
            </w:r>
            <w:r w:rsidR="00BE2A00" w:rsidRPr="00FA737C">
              <w:rPr>
                <w:noProof/>
                <w:webHidden/>
              </w:rPr>
              <w:t>2</w:t>
            </w:r>
            <w:r w:rsidR="00623CB4" w:rsidRPr="00FA737C">
              <w:rPr>
                <w:noProof/>
                <w:webHidden/>
              </w:rPr>
              <w:fldChar w:fldCharType="end"/>
            </w:r>
          </w:hyperlink>
        </w:p>
        <w:p w14:paraId="0C83778E" w14:textId="77777777" w:rsidR="00623CB4" w:rsidRPr="00FA737C" w:rsidRDefault="00623CB4">
          <w:pPr>
            <w:pStyle w:val="TOC1"/>
            <w:tabs>
              <w:tab w:val="right" w:leader="dot" w:pos="9016"/>
            </w:tabs>
            <w:rPr>
              <w:rFonts w:eastAsiaTheme="minorEastAsia"/>
              <w:noProof/>
              <w:sz w:val="22"/>
              <w:szCs w:val="22"/>
              <w:lang w:eastAsia="en-GB"/>
            </w:rPr>
          </w:pPr>
          <w:hyperlink w:anchor="_Toc464634967" w:history="1">
            <w:r w:rsidRPr="00FA737C">
              <w:rPr>
                <w:rStyle w:val="Hyperlink"/>
                <w:noProof/>
              </w:rPr>
              <w:t>Initial Meeting</w:t>
            </w:r>
            <w:r w:rsidRPr="00FA737C">
              <w:rPr>
                <w:noProof/>
                <w:webHidden/>
              </w:rPr>
              <w:tab/>
            </w:r>
            <w:r w:rsidRPr="00FA737C">
              <w:rPr>
                <w:noProof/>
                <w:webHidden/>
              </w:rPr>
              <w:fldChar w:fldCharType="begin"/>
            </w:r>
            <w:r w:rsidRPr="00FA737C">
              <w:rPr>
                <w:noProof/>
                <w:webHidden/>
              </w:rPr>
              <w:instrText xml:space="preserve"> PAGEREF _Toc464634967 \h </w:instrText>
            </w:r>
            <w:r w:rsidRPr="00FA737C">
              <w:rPr>
                <w:noProof/>
                <w:webHidden/>
              </w:rPr>
            </w:r>
            <w:r w:rsidRPr="00FA737C">
              <w:rPr>
                <w:noProof/>
                <w:webHidden/>
              </w:rPr>
              <w:fldChar w:fldCharType="separate"/>
            </w:r>
            <w:r w:rsidR="00BE2A00" w:rsidRPr="00FA737C">
              <w:rPr>
                <w:noProof/>
                <w:webHidden/>
              </w:rPr>
              <w:t>3</w:t>
            </w:r>
            <w:r w:rsidRPr="00FA737C">
              <w:rPr>
                <w:noProof/>
                <w:webHidden/>
              </w:rPr>
              <w:fldChar w:fldCharType="end"/>
            </w:r>
          </w:hyperlink>
        </w:p>
        <w:p w14:paraId="2A8E48A5" w14:textId="77777777" w:rsidR="00623CB4" w:rsidRPr="00FA737C" w:rsidRDefault="00623CB4">
          <w:pPr>
            <w:pStyle w:val="TOC1"/>
            <w:tabs>
              <w:tab w:val="right" w:leader="dot" w:pos="9016"/>
            </w:tabs>
            <w:rPr>
              <w:rFonts w:eastAsiaTheme="minorEastAsia"/>
              <w:noProof/>
              <w:sz w:val="22"/>
              <w:szCs w:val="22"/>
              <w:lang w:eastAsia="en-GB"/>
            </w:rPr>
          </w:pPr>
          <w:hyperlink w:anchor="_Toc464634968" w:history="1">
            <w:r w:rsidRPr="00FA737C">
              <w:rPr>
                <w:rStyle w:val="Hyperlink"/>
                <w:noProof/>
              </w:rPr>
              <w:t>Timings</w:t>
            </w:r>
            <w:r w:rsidRPr="00FA737C">
              <w:rPr>
                <w:noProof/>
                <w:webHidden/>
              </w:rPr>
              <w:tab/>
            </w:r>
            <w:r w:rsidRPr="00FA737C">
              <w:rPr>
                <w:noProof/>
                <w:webHidden/>
              </w:rPr>
              <w:fldChar w:fldCharType="begin"/>
            </w:r>
            <w:r w:rsidRPr="00FA737C">
              <w:rPr>
                <w:noProof/>
                <w:webHidden/>
              </w:rPr>
              <w:instrText xml:space="preserve"> PAGEREF _Toc464634968 \h </w:instrText>
            </w:r>
            <w:r w:rsidRPr="00FA737C">
              <w:rPr>
                <w:noProof/>
                <w:webHidden/>
              </w:rPr>
            </w:r>
            <w:r w:rsidRPr="00FA737C">
              <w:rPr>
                <w:noProof/>
                <w:webHidden/>
              </w:rPr>
              <w:fldChar w:fldCharType="separate"/>
            </w:r>
            <w:r w:rsidR="00BE2A00" w:rsidRPr="00FA737C">
              <w:rPr>
                <w:noProof/>
                <w:webHidden/>
              </w:rPr>
              <w:t>3</w:t>
            </w:r>
            <w:r w:rsidRPr="00FA737C">
              <w:rPr>
                <w:noProof/>
                <w:webHidden/>
              </w:rPr>
              <w:fldChar w:fldCharType="end"/>
            </w:r>
          </w:hyperlink>
        </w:p>
        <w:p w14:paraId="2F85B56A" w14:textId="77777777" w:rsidR="00623CB4" w:rsidRPr="00FA737C" w:rsidRDefault="00623CB4">
          <w:pPr>
            <w:pStyle w:val="TOC1"/>
            <w:tabs>
              <w:tab w:val="right" w:leader="dot" w:pos="9016"/>
            </w:tabs>
            <w:rPr>
              <w:rFonts w:eastAsiaTheme="minorEastAsia"/>
              <w:noProof/>
              <w:sz w:val="22"/>
              <w:szCs w:val="22"/>
              <w:lang w:eastAsia="en-GB"/>
            </w:rPr>
          </w:pPr>
          <w:hyperlink w:anchor="_Toc464634969" w:history="1">
            <w:r w:rsidRPr="00FA737C">
              <w:rPr>
                <w:rStyle w:val="Hyperlink"/>
                <w:noProof/>
              </w:rPr>
              <w:t>PWA Variation Approval Process</w:t>
            </w:r>
            <w:r w:rsidRPr="00FA737C">
              <w:rPr>
                <w:noProof/>
                <w:webHidden/>
              </w:rPr>
              <w:tab/>
            </w:r>
            <w:r w:rsidRPr="00FA737C">
              <w:rPr>
                <w:noProof/>
                <w:webHidden/>
              </w:rPr>
              <w:fldChar w:fldCharType="begin"/>
            </w:r>
            <w:r w:rsidRPr="00FA737C">
              <w:rPr>
                <w:noProof/>
                <w:webHidden/>
              </w:rPr>
              <w:instrText xml:space="preserve"> PAGEREF _Toc464634969 \h </w:instrText>
            </w:r>
            <w:r w:rsidRPr="00FA737C">
              <w:rPr>
                <w:noProof/>
                <w:webHidden/>
              </w:rPr>
            </w:r>
            <w:r w:rsidRPr="00FA737C">
              <w:rPr>
                <w:noProof/>
                <w:webHidden/>
              </w:rPr>
              <w:fldChar w:fldCharType="separate"/>
            </w:r>
            <w:r w:rsidR="00BE2A00" w:rsidRPr="00FA737C">
              <w:rPr>
                <w:noProof/>
                <w:webHidden/>
              </w:rPr>
              <w:t>3</w:t>
            </w:r>
            <w:r w:rsidRPr="00FA737C">
              <w:rPr>
                <w:noProof/>
                <w:webHidden/>
              </w:rPr>
              <w:fldChar w:fldCharType="end"/>
            </w:r>
          </w:hyperlink>
        </w:p>
        <w:p w14:paraId="378D6452" w14:textId="77777777" w:rsidR="00623CB4" w:rsidRPr="00FA737C" w:rsidRDefault="00623CB4">
          <w:pPr>
            <w:pStyle w:val="TOC1"/>
            <w:tabs>
              <w:tab w:val="right" w:leader="dot" w:pos="9016"/>
            </w:tabs>
            <w:rPr>
              <w:rFonts w:eastAsiaTheme="minorEastAsia"/>
              <w:noProof/>
              <w:sz w:val="22"/>
              <w:szCs w:val="22"/>
              <w:lang w:eastAsia="en-GB"/>
            </w:rPr>
          </w:pPr>
          <w:hyperlink w:anchor="_Toc464634970" w:history="1">
            <w:r w:rsidRPr="00FA737C">
              <w:rPr>
                <w:rStyle w:val="Hyperlink"/>
                <w:noProof/>
                <w:lang w:val="en"/>
              </w:rPr>
              <w:t>Offshore Pipeline Definition</w:t>
            </w:r>
            <w:r w:rsidRPr="00FA737C">
              <w:rPr>
                <w:noProof/>
                <w:webHidden/>
              </w:rPr>
              <w:tab/>
            </w:r>
            <w:r w:rsidRPr="00FA737C">
              <w:rPr>
                <w:noProof/>
                <w:webHidden/>
              </w:rPr>
              <w:fldChar w:fldCharType="begin"/>
            </w:r>
            <w:r w:rsidRPr="00FA737C">
              <w:rPr>
                <w:noProof/>
                <w:webHidden/>
              </w:rPr>
              <w:instrText xml:space="preserve"> PAGEREF _Toc464634970 \h </w:instrText>
            </w:r>
            <w:r w:rsidRPr="00FA737C">
              <w:rPr>
                <w:noProof/>
                <w:webHidden/>
              </w:rPr>
            </w:r>
            <w:r w:rsidRPr="00FA737C">
              <w:rPr>
                <w:noProof/>
                <w:webHidden/>
              </w:rPr>
              <w:fldChar w:fldCharType="separate"/>
            </w:r>
            <w:r w:rsidR="00BE2A00" w:rsidRPr="00FA737C">
              <w:rPr>
                <w:noProof/>
                <w:webHidden/>
              </w:rPr>
              <w:t>4</w:t>
            </w:r>
            <w:r w:rsidRPr="00FA737C">
              <w:rPr>
                <w:noProof/>
                <w:webHidden/>
              </w:rPr>
              <w:fldChar w:fldCharType="end"/>
            </w:r>
          </w:hyperlink>
        </w:p>
        <w:p w14:paraId="464E7C33" w14:textId="77777777" w:rsidR="00623CB4" w:rsidRPr="00FA737C" w:rsidRDefault="00623CB4">
          <w:pPr>
            <w:pStyle w:val="TOC1"/>
            <w:tabs>
              <w:tab w:val="right" w:leader="dot" w:pos="9016"/>
            </w:tabs>
            <w:rPr>
              <w:rFonts w:eastAsiaTheme="minorEastAsia"/>
              <w:noProof/>
              <w:sz w:val="22"/>
              <w:szCs w:val="22"/>
              <w:lang w:eastAsia="en-GB"/>
            </w:rPr>
          </w:pPr>
          <w:hyperlink w:anchor="_Toc464634971" w:history="1">
            <w:r w:rsidRPr="00FA737C">
              <w:rPr>
                <w:rStyle w:val="Hyperlink"/>
                <w:noProof/>
              </w:rPr>
              <w:t>Table A</w:t>
            </w:r>
            <w:r w:rsidRPr="00FA737C">
              <w:rPr>
                <w:noProof/>
                <w:webHidden/>
              </w:rPr>
              <w:tab/>
            </w:r>
            <w:r w:rsidRPr="00FA737C">
              <w:rPr>
                <w:noProof/>
                <w:webHidden/>
              </w:rPr>
              <w:fldChar w:fldCharType="begin"/>
            </w:r>
            <w:r w:rsidRPr="00FA737C">
              <w:rPr>
                <w:noProof/>
                <w:webHidden/>
              </w:rPr>
              <w:instrText xml:space="preserve"> PAGEREF _Toc464634971 \h </w:instrText>
            </w:r>
            <w:r w:rsidRPr="00FA737C">
              <w:rPr>
                <w:noProof/>
                <w:webHidden/>
              </w:rPr>
            </w:r>
            <w:r w:rsidRPr="00FA737C">
              <w:rPr>
                <w:noProof/>
                <w:webHidden/>
              </w:rPr>
              <w:fldChar w:fldCharType="separate"/>
            </w:r>
            <w:r w:rsidR="00BE2A00" w:rsidRPr="00FA737C">
              <w:rPr>
                <w:noProof/>
                <w:webHidden/>
              </w:rPr>
              <w:t>5</w:t>
            </w:r>
            <w:r w:rsidRPr="00FA737C">
              <w:rPr>
                <w:noProof/>
                <w:webHidden/>
              </w:rPr>
              <w:fldChar w:fldCharType="end"/>
            </w:r>
          </w:hyperlink>
        </w:p>
        <w:p w14:paraId="4BFF8545" w14:textId="77777777" w:rsidR="00623CB4" w:rsidRPr="00FA737C" w:rsidRDefault="00623CB4">
          <w:pPr>
            <w:pStyle w:val="TOC1"/>
            <w:tabs>
              <w:tab w:val="right" w:leader="dot" w:pos="9016"/>
            </w:tabs>
            <w:rPr>
              <w:rFonts w:eastAsiaTheme="minorEastAsia"/>
              <w:noProof/>
              <w:sz w:val="22"/>
              <w:szCs w:val="22"/>
              <w:lang w:eastAsia="en-GB"/>
            </w:rPr>
          </w:pPr>
          <w:hyperlink w:anchor="_Toc464634972" w:history="1">
            <w:r w:rsidRPr="00FA737C">
              <w:rPr>
                <w:rStyle w:val="Hyperlink"/>
                <w:noProof/>
              </w:rPr>
              <w:t>Table A Schematic</w:t>
            </w:r>
            <w:r w:rsidRPr="00FA737C">
              <w:rPr>
                <w:noProof/>
                <w:webHidden/>
              </w:rPr>
              <w:tab/>
            </w:r>
            <w:r w:rsidRPr="00FA737C">
              <w:rPr>
                <w:noProof/>
                <w:webHidden/>
              </w:rPr>
              <w:fldChar w:fldCharType="begin"/>
            </w:r>
            <w:r w:rsidRPr="00FA737C">
              <w:rPr>
                <w:noProof/>
                <w:webHidden/>
              </w:rPr>
              <w:instrText xml:space="preserve"> PAGEREF _Toc464634972 \h </w:instrText>
            </w:r>
            <w:r w:rsidRPr="00FA737C">
              <w:rPr>
                <w:noProof/>
                <w:webHidden/>
              </w:rPr>
            </w:r>
            <w:r w:rsidRPr="00FA737C">
              <w:rPr>
                <w:noProof/>
                <w:webHidden/>
              </w:rPr>
              <w:fldChar w:fldCharType="separate"/>
            </w:r>
            <w:r w:rsidR="00BE2A00" w:rsidRPr="00FA737C">
              <w:rPr>
                <w:noProof/>
                <w:webHidden/>
              </w:rPr>
              <w:t>6</w:t>
            </w:r>
            <w:r w:rsidRPr="00FA737C">
              <w:rPr>
                <w:noProof/>
                <w:webHidden/>
              </w:rPr>
              <w:fldChar w:fldCharType="end"/>
            </w:r>
          </w:hyperlink>
        </w:p>
        <w:p w14:paraId="24A8929E" w14:textId="77777777" w:rsidR="00623CB4" w:rsidRPr="00FA737C" w:rsidRDefault="00623CB4">
          <w:pPr>
            <w:pStyle w:val="TOC1"/>
            <w:tabs>
              <w:tab w:val="right" w:leader="dot" w:pos="9016"/>
            </w:tabs>
            <w:rPr>
              <w:rFonts w:eastAsiaTheme="minorEastAsia"/>
              <w:noProof/>
              <w:sz w:val="22"/>
              <w:szCs w:val="22"/>
              <w:lang w:eastAsia="en-GB"/>
            </w:rPr>
          </w:pPr>
          <w:hyperlink w:anchor="_Toc464634973" w:history="1">
            <w:r w:rsidRPr="00FA737C">
              <w:rPr>
                <w:rStyle w:val="Hyperlink"/>
                <w:noProof/>
              </w:rPr>
              <w:t>Electric Cables</w:t>
            </w:r>
            <w:r w:rsidRPr="00FA737C">
              <w:rPr>
                <w:noProof/>
                <w:webHidden/>
              </w:rPr>
              <w:tab/>
            </w:r>
            <w:r w:rsidRPr="00FA737C">
              <w:rPr>
                <w:noProof/>
                <w:webHidden/>
              </w:rPr>
              <w:fldChar w:fldCharType="begin"/>
            </w:r>
            <w:r w:rsidRPr="00FA737C">
              <w:rPr>
                <w:noProof/>
                <w:webHidden/>
              </w:rPr>
              <w:instrText xml:space="preserve"> PAGEREF _Toc464634973 \h </w:instrText>
            </w:r>
            <w:r w:rsidRPr="00FA737C">
              <w:rPr>
                <w:noProof/>
                <w:webHidden/>
              </w:rPr>
            </w:r>
            <w:r w:rsidRPr="00FA737C">
              <w:rPr>
                <w:noProof/>
                <w:webHidden/>
              </w:rPr>
              <w:fldChar w:fldCharType="separate"/>
            </w:r>
            <w:r w:rsidR="00BE2A00" w:rsidRPr="00FA737C">
              <w:rPr>
                <w:noProof/>
                <w:webHidden/>
              </w:rPr>
              <w:t>7</w:t>
            </w:r>
            <w:r w:rsidRPr="00FA737C">
              <w:rPr>
                <w:noProof/>
                <w:webHidden/>
              </w:rPr>
              <w:fldChar w:fldCharType="end"/>
            </w:r>
          </w:hyperlink>
        </w:p>
        <w:p w14:paraId="720D761C" w14:textId="77777777" w:rsidR="00623CB4" w:rsidRPr="00FA737C" w:rsidRDefault="00623CB4">
          <w:pPr>
            <w:pStyle w:val="TOC1"/>
            <w:tabs>
              <w:tab w:val="right" w:leader="dot" w:pos="9016"/>
            </w:tabs>
            <w:rPr>
              <w:rFonts w:eastAsiaTheme="minorEastAsia"/>
              <w:noProof/>
              <w:sz w:val="22"/>
              <w:szCs w:val="22"/>
              <w:lang w:eastAsia="en-GB"/>
            </w:rPr>
          </w:pPr>
          <w:hyperlink w:anchor="_Toc464634974" w:history="1">
            <w:r w:rsidRPr="00FA737C">
              <w:rPr>
                <w:rStyle w:val="Hyperlink"/>
                <w:noProof/>
              </w:rPr>
              <w:t>Health and Safety Executive (HSE)</w:t>
            </w:r>
            <w:r w:rsidRPr="00FA737C">
              <w:rPr>
                <w:noProof/>
                <w:webHidden/>
              </w:rPr>
              <w:tab/>
            </w:r>
            <w:r w:rsidRPr="00FA737C">
              <w:rPr>
                <w:noProof/>
                <w:webHidden/>
              </w:rPr>
              <w:fldChar w:fldCharType="begin"/>
            </w:r>
            <w:r w:rsidRPr="00FA737C">
              <w:rPr>
                <w:noProof/>
                <w:webHidden/>
              </w:rPr>
              <w:instrText xml:space="preserve"> PAGEREF _Toc464634974 \h </w:instrText>
            </w:r>
            <w:r w:rsidRPr="00FA737C">
              <w:rPr>
                <w:noProof/>
                <w:webHidden/>
              </w:rPr>
            </w:r>
            <w:r w:rsidRPr="00FA737C">
              <w:rPr>
                <w:noProof/>
                <w:webHidden/>
              </w:rPr>
              <w:fldChar w:fldCharType="separate"/>
            </w:r>
            <w:r w:rsidR="00BE2A00" w:rsidRPr="00FA737C">
              <w:rPr>
                <w:noProof/>
                <w:webHidden/>
              </w:rPr>
              <w:t>7</w:t>
            </w:r>
            <w:r w:rsidRPr="00FA737C">
              <w:rPr>
                <w:noProof/>
                <w:webHidden/>
              </w:rPr>
              <w:fldChar w:fldCharType="end"/>
            </w:r>
          </w:hyperlink>
        </w:p>
        <w:p w14:paraId="097911A7" w14:textId="77777777" w:rsidR="00623CB4" w:rsidRPr="00FA737C" w:rsidRDefault="00623CB4">
          <w:pPr>
            <w:pStyle w:val="TOC1"/>
            <w:tabs>
              <w:tab w:val="right" w:leader="dot" w:pos="9016"/>
            </w:tabs>
            <w:rPr>
              <w:rFonts w:eastAsiaTheme="minorEastAsia"/>
              <w:noProof/>
              <w:sz w:val="22"/>
              <w:szCs w:val="22"/>
              <w:lang w:eastAsia="en-GB"/>
            </w:rPr>
          </w:pPr>
          <w:hyperlink w:anchor="_Toc464634975" w:history="1">
            <w:r w:rsidRPr="00FA737C">
              <w:rPr>
                <w:rStyle w:val="Hyperlink"/>
                <w:noProof/>
              </w:rPr>
              <w:t>Environmental Permits (BEIS)</w:t>
            </w:r>
            <w:r w:rsidRPr="00FA737C">
              <w:rPr>
                <w:noProof/>
                <w:webHidden/>
              </w:rPr>
              <w:tab/>
            </w:r>
            <w:r w:rsidRPr="00FA737C">
              <w:rPr>
                <w:noProof/>
                <w:webHidden/>
              </w:rPr>
              <w:fldChar w:fldCharType="begin"/>
            </w:r>
            <w:r w:rsidRPr="00FA737C">
              <w:rPr>
                <w:noProof/>
                <w:webHidden/>
              </w:rPr>
              <w:instrText xml:space="preserve"> PAGEREF _Toc464634975 \h </w:instrText>
            </w:r>
            <w:r w:rsidRPr="00FA737C">
              <w:rPr>
                <w:noProof/>
                <w:webHidden/>
              </w:rPr>
            </w:r>
            <w:r w:rsidRPr="00FA737C">
              <w:rPr>
                <w:noProof/>
                <w:webHidden/>
              </w:rPr>
              <w:fldChar w:fldCharType="separate"/>
            </w:r>
            <w:r w:rsidR="00BE2A00" w:rsidRPr="00FA737C">
              <w:rPr>
                <w:noProof/>
                <w:webHidden/>
              </w:rPr>
              <w:t>7</w:t>
            </w:r>
            <w:r w:rsidRPr="00FA737C">
              <w:rPr>
                <w:noProof/>
                <w:webHidden/>
              </w:rPr>
              <w:fldChar w:fldCharType="end"/>
            </w:r>
          </w:hyperlink>
        </w:p>
        <w:p w14:paraId="04A6E25A" w14:textId="77777777" w:rsidR="00623CB4" w:rsidRPr="00FA737C" w:rsidRDefault="00623CB4">
          <w:pPr>
            <w:pStyle w:val="TOC1"/>
            <w:tabs>
              <w:tab w:val="right" w:leader="dot" w:pos="9016"/>
            </w:tabs>
            <w:rPr>
              <w:rFonts w:eastAsiaTheme="minorEastAsia"/>
              <w:noProof/>
              <w:sz w:val="22"/>
              <w:szCs w:val="22"/>
              <w:lang w:eastAsia="en-GB"/>
            </w:rPr>
          </w:pPr>
          <w:hyperlink w:anchor="_Toc464634976" w:history="1">
            <w:r w:rsidRPr="00FA737C">
              <w:rPr>
                <w:rStyle w:val="Hyperlink"/>
                <w:noProof/>
              </w:rPr>
              <w:t>Pipeline Deposits</w:t>
            </w:r>
            <w:r w:rsidRPr="00FA737C">
              <w:rPr>
                <w:noProof/>
                <w:webHidden/>
              </w:rPr>
              <w:tab/>
            </w:r>
            <w:r w:rsidRPr="00FA737C">
              <w:rPr>
                <w:noProof/>
                <w:webHidden/>
              </w:rPr>
              <w:fldChar w:fldCharType="begin"/>
            </w:r>
            <w:r w:rsidRPr="00FA737C">
              <w:rPr>
                <w:noProof/>
                <w:webHidden/>
              </w:rPr>
              <w:instrText xml:space="preserve"> PAGEREF _Toc464634976 \h </w:instrText>
            </w:r>
            <w:r w:rsidRPr="00FA737C">
              <w:rPr>
                <w:noProof/>
                <w:webHidden/>
              </w:rPr>
            </w:r>
            <w:r w:rsidRPr="00FA737C">
              <w:rPr>
                <w:noProof/>
                <w:webHidden/>
              </w:rPr>
              <w:fldChar w:fldCharType="separate"/>
            </w:r>
            <w:r w:rsidR="00BE2A00" w:rsidRPr="00FA737C">
              <w:rPr>
                <w:noProof/>
                <w:webHidden/>
              </w:rPr>
              <w:t>7</w:t>
            </w:r>
            <w:r w:rsidRPr="00FA737C">
              <w:rPr>
                <w:noProof/>
                <w:webHidden/>
              </w:rPr>
              <w:fldChar w:fldCharType="end"/>
            </w:r>
          </w:hyperlink>
        </w:p>
        <w:p w14:paraId="11465065" w14:textId="77777777" w:rsidR="00623CB4" w:rsidRPr="00FA737C" w:rsidRDefault="00623CB4">
          <w:pPr>
            <w:pStyle w:val="TOC1"/>
            <w:tabs>
              <w:tab w:val="right" w:leader="dot" w:pos="9016"/>
            </w:tabs>
            <w:rPr>
              <w:rFonts w:eastAsiaTheme="minorEastAsia"/>
              <w:noProof/>
              <w:sz w:val="22"/>
              <w:szCs w:val="22"/>
              <w:lang w:eastAsia="en-GB"/>
            </w:rPr>
          </w:pPr>
          <w:hyperlink w:anchor="_Toc464634977" w:history="1">
            <w:r w:rsidRPr="00FA737C">
              <w:rPr>
                <w:rStyle w:val="Hyperlink"/>
                <w:noProof/>
              </w:rPr>
              <w:t>Agreement Letters</w:t>
            </w:r>
            <w:r w:rsidRPr="00FA737C">
              <w:rPr>
                <w:noProof/>
                <w:webHidden/>
              </w:rPr>
              <w:tab/>
            </w:r>
            <w:r w:rsidRPr="00FA737C">
              <w:rPr>
                <w:noProof/>
                <w:webHidden/>
              </w:rPr>
              <w:fldChar w:fldCharType="begin"/>
            </w:r>
            <w:r w:rsidRPr="00FA737C">
              <w:rPr>
                <w:noProof/>
                <w:webHidden/>
              </w:rPr>
              <w:instrText xml:space="preserve"> PAGEREF _Toc464634977 \h </w:instrText>
            </w:r>
            <w:r w:rsidRPr="00FA737C">
              <w:rPr>
                <w:noProof/>
                <w:webHidden/>
              </w:rPr>
            </w:r>
            <w:r w:rsidRPr="00FA737C">
              <w:rPr>
                <w:noProof/>
                <w:webHidden/>
              </w:rPr>
              <w:fldChar w:fldCharType="separate"/>
            </w:r>
            <w:r w:rsidR="00BE2A00" w:rsidRPr="00FA737C">
              <w:rPr>
                <w:noProof/>
                <w:webHidden/>
              </w:rPr>
              <w:t>7</w:t>
            </w:r>
            <w:r w:rsidRPr="00FA737C">
              <w:rPr>
                <w:noProof/>
                <w:webHidden/>
              </w:rPr>
              <w:fldChar w:fldCharType="end"/>
            </w:r>
          </w:hyperlink>
        </w:p>
        <w:p w14:paraId="5186E0EC" w14:textId="77777777" w:rsidR="00623CB4" w:rsidRPr="00FA737C" w:rsidRDefault="00623CB4">
          <w:pPr>
            <w:pStyle w:val="TOC1"/>
            <w:tabs>
              <w:tab w:val="right" w:leader="dot" w:pos="9016"/>
            </w:tabs>
            <w:rPr>
              <w:rFonts w:eastAsiaTheme="minorEastAsia"/>
              <w:noProof/>
              <w:sz w:val="22"/>
              <w:szCs w:val="22"/>
              <w:lang w:eastAsia="en-GB"/>
            </w:rPr>
          </w:pPr>
          <w:hyperlink w:anchor="_Toc464634978" w:history="1">
            <w:r w:rsidRPr="00FA737C">
              <w:rPr>
                <w:rStyle w:val="Hyperlink"/>
                <w:noProof/>
              </w:rPr>
              <w:t>As Left Table A and Schematic</w:t>
            </w:r>
            <w:r w:rsidRPr="00FA737C">
              <w:rPr>
                <w:noProof/>
                <w:webHidden/>
              </w:rPr>
              <w:tab/>
            </w:r>
            <w:r w:rsidRPr="00FA737C">
              <w:rPr>
                <w:noProof/>
                <w:webHidden/>
              </w:rPr>
              <w:fldChar w:fldCharType="begin"/>
            </w:r>
            <w:r w:rsidRPr="00FA737C">
              <w:rPr>
                <w:noProof/>
                <w:webHidden/>
              </w:rPr>
              <w:instrText xml:space="preserve"> PAGEREF _Toc464634978 \h </w:instrText>
            </w:r>
            <w:r w:rsidRPr="00FA737C">
              <w:rPr>
                <w:noProof/>
                <w:webHidden/>
              </w:rPr>
            </w:r>
            <w:r w:rsidRPr="00FA737C">
              <w:rPr>
                <w:noProof/>
                <w:webHidden/>
              </w:rPr>
              <w:fldChar w:fldCharType="separate"/>
            </w:r>
            <w:r w:rsidR="00BE2A00" w:rsidRPr="00FA737C">
              <w:rPr>
                <w:noProof/>
                <w:webHidden/>
              </w:rPr>
              <w:t>8</w:t>
            </w:r>
            <w:r w:rsidRPr="00FA737C">
              <w:rPr>
                <w:noProof/>
                <w:webHidden/>
              </w:rPr>
              <w:fldChar w:fldCharType="end"/>
            </w:r>
          </w:hyperlink>
        </w:p>
        <w:p w14:paraId="3E6F9A59" w14:textId="77777777" w:rsidR="00623CB4" w:rsidRPr="00FA737C" w:rsidRDefault="00623CB4">
          <w:pPr>
            <w:pStyle w:val="TOC1"/>
            <w:tabs>
              <w:tab w:val="right" w:leader="dot" w:pos="9016"/>
            </w:tabs>
            <w:rPr>
              <w:rFonts w:eastAsiaTheme="minorEastAsia"/>
              <w:noProof/>
              <w:sz w:val="22"/>
              <w:szCs w:val="22"/>
              <w:lang w:eastAsia="en-GB"/>
            </w:rPr>
          </w:pPr>
          <w:hyperlink w:anchor="_Toc464634979" w:history="1">
            <w:r w:rsidRPr="00FA737C">
              <w:rPr>
                <w:rStyle w:val="Hyperlink"/>
                <w:noProof/>
              </w:rPr>
              <w:t>Disused Pipeline Notification (DPN)</w:t>
            </w:r>
            <w:r w:rsidRPr="00FA737C">
              <w:rPr>
                <w:noProof/>
                <w:webHidden/>
              </w:rPr>
              <w:tab/>
            </w:r>
            <w:r w:rsidRPr="00FA737C">
              <w:rPr>
                <w:noProof/>
                <w:webHidden/>
              </w:rPr>
              <w:fldChar w:fldCharType="begin"/>
            </w:r>
            <w:r w:rsidRPr="00FA737C">
              <w:rPr>
                <w:noProof/>
                <w:webHidden/>
              </w:rPr>
              <w:instrText xml:space="preserve"> PAGEREF _Toc464634979 \h </w:instrText>
            </w:r>
            <w:r w:rsidRPr="00FA737C">
              <w:rPr>
                <w:noProof/>
                <w:webHidden/>
              </w:rPr>
            </w:r>
            <w:r w:rsidRPr="00FA737C">
              <w:rPr>
                <w:noProof/>
                <w:webHidden/>
              </w:rPr>
              <w:fldChar w:fldCharType="separate"/>
            </w:r>
            <w:r w:rsidR="00BE2A00" w:rsidRPr="00FA737C">
              <w:rPr>
                <w:noProof/>
                <w:webHidden/>
              </w:rPr>
              <w:t>8</w:t>
            </w:r>
            <w:r w:rsidRPr="00FA737C">
              <w:rPr>
                <w:noProof/>
                <w:webHidden/>
              </w:rPr>
              <w:fldChar w:fldCharType="end"/>
            </w:r>
          </w:hyperlink>
        </w:p>
        <w:p w14:paraId="5A810F4A" w14:textId="77777777" w:rsidR="00FF114C" w:rsidRPr="00FA737C" w:rsidRDefault="00FF114C">
          <w:r w:rsidRPr="00FA737C">
            <w:rPr>
              <w:b/>
              <w:bCs/>
              <w:noProof/>
            </w:rPr>
            <w:fldChar w:fldCharType="end"/>
          </w:r>
        </w:p>
      </w:sdtContent>
    </w:sdt>
    <w:p w14:paraId="24346440" w14:textId="77777777" w:rsidR="00FF114C" w:rsidRPr="00FA737C" w:rsidRDefault="00FF114C">
      <w:pPr>
        <w:rPr>
          <w:sz w:val="28"/>
          <w:szCs w:val="28"/>
          <w:u w:val="single"/>
        </w:rPr>
      </w:pPr>
    </w:p>
    <w:p w14:paraId="08F6A0FA" w14:textId="77777777" w:rsidR="00FF114C" w:rsidRPr="00FA737C" w:rsidRDefault="00FF114C">
      <w:pPr>
        <w:rPr>
          <w:sz w:val="28"/>
          <w:szCs w:val="28"/>
          <w:u w:val="single"/>
        </w:rPr>
      </w:pPr>
    </w:p>
    <w:p w14:paraId="788A535C" w14:textId="77777777" w:rsidR="00FF114C" w:rsidRPr="00FA737C" w:rsidRDefault="00FF114C">
      <w:pPr>
        <w:rPr>
          <w:sz w:val="28"/>
          <w:szCs w:val="28"/>
          <w:u w:val="single"/>
        </w:rPr>
      </w:pPr>
    </w:p>
    <w:p w14:paraId="6DACE7A1" w14:textId="77777777" w:rsidR="00FF114C" w:rsidRPr="00FA737C" w:rsidRDefault="00FF114C">
      <w:pPr>
        <w:rPr>
          <w:sz w:val="28"/>
          <w:szCs w:val="28"/>
          <w:u w:val="single"/>
        </w:rPr>
      </w:pPr>
    </w:p>
    <w:p w14:paraId="1D3F0B65" w14:textId="77777777" w:rsidR="00FF114C" w:rsidRPr="00FA737C" w:rsidRDefault="00FF114C">
      <w:pPr>
        <w:rPr>
          <w:sz w:val="28"/>
          <w:szCs w:val="28"/>
          <w:u w:val="single"/>
        </w:rPr>
      </w:pPr>
    </w:p>
    <w:p w14:paraId="16A4D791" w14:textId="77777777" w:rsidR="00FF114C" w:rsidRPr="00FA737C" w:rsidRDefault="00FF114C">
      <w:pPr>
        <w:rPr>
          <w:sz w:val="28"/>
          <w:szCs w:val="28"/>
          <w:u w:val="single"/>
        </w:rPr>
      </w:pPr>
    </w:p>
    <w:p w14:paraId="4CEEA027" w14:textId="77777777" w:rsidR="00FF114C" w:rsidRPr="00FA737C" w:rsidRDefault="00FF114C">
      <w:pPr>
        <w:rPr>
          <w:sz w:val="28"/>
          <w:szCs w:val="28"/>
          <w:u w:val="single"/>
        </w:rPr>
      </w:pPr>
    </w:p>
    <w:p w14:paraId="7982E722" w14:textId="77777777" w:rsidR="00FF114C" w:rsidRPr="00FA737C" w:rsidRDefault="00FF114C">
      <w:pPr>
        <w:rPr>
          <w:sz w:val="28"/>
          <w:szCs w:val="28"/>
          <w:u w:val="single"/>
        </w:rPr>
      </w:pPr>
    </w:p>
    <w:p w14:paraId="2DEA03EE" w14:textId="77777777" w:rsidR="00FF114C" w:rsidRPr="00FA737C" w:rsidRDefault="00FF114C">
      <w:pPr>
        <w:rPr>
          <w:sz w:val="28"/>
          <w:szCs w:val="28"/>
          <w:u w:val="single"/>
        </w:rPr>
      </w:pPr>
    </w:p>
    <w:p w14:paraId="05A58F9D" w14:textId="77777777" w:rsidR="00FF114C" w:rsidRPr="00FA737C" w:rsidRDefault="00FF114C">
      <w:pPr>
        <w:rPr>
          <w:sz w:val="28"/>
          <w:szCs w:val="28"/>
          <w:u w:val="single"/>
        </w:rPr>
      </w:pPr>
    </w:p>
    <w:p w14:paraId="3B833ED2" w14:textId="77777777" w:rsidR="00FF114C" w:rsidRPr="00FA737C" w:rsidRDefault="00FF114C">
      <w:pPr>
        <w:rPr>
          <w:sz w:val="28"/>
          <w:szCs w:val="28"/>
          <w:u w:val="single"/>
        </w:rPr>
      </w:pPr>
    </w:p>
    <w:p w14:paraId="350DCE63" w14:textId="77777777" w:rsidR="00FF114C" w:rsidRPr="00FA737C" w:rsidRDefault="00FF114C">
      <w:pPr>
        <w:rPr>
          <w:sz w:val="28"/>
          <w:szCs w:val="28"/>
          <w:u w:val="single"/>
        </w:rPr>
      </w:pPr>
    </w:p>
    <w:p w14:paraId="6DB38C78" w14:textId="77777777" w:rsidR="00FF114C" w:rsidRPr="00FA737C" w:rsidRDefault="00FF114C">
      <w:pPr>
        <w:rPr>
          <w:sz w:val="28"/>
          <w:szCs w:val="28"/>
          <w:u w:val="single"/>
        </w:rPr>
      </w:pPr>
    </w:p>
    <w:p w14:paraId="1C20D600" w14:textId="77777777" w:rsidR="00FF114C" w:rsidRPr="00FA737C" w:rsidRDefault="00FF114C">
      <w:pPr>
        <w:rPr>
          <w:sz w:val="28"/>
          <w:szCs w:val="28"/>
          <w:u w:val="single"/>
        </w:rPr>
      </w:pPr>
    </w:p>
    <w:p w14:paraId="32BE81F6" w14:textId="77777777" w:rsidR="00FF114C" w:rsidRPr="00FA737C" w:rsidRDefault="00FF114C">
      <w:pPr>
        <w:rPr>
          <w:sz w:val="28"/>
          <w:szCs w:val="28"/>
          <w:u w:val="single"/>
        </w:rPr>
      </w:pPr>
    </w:p>
    <w:p w14:paraId="518C8A8A" w14:textId="77777777" w:rsidR="00FF114C" w:rsidRPr="00FA737C" w:rsidRDefault="00FF114C">
      <w:pPr>
        <w:rPr>
          <w:sz w:val="28"/>
          <w:szCs w:val="28"/>
          <w:u w:val="single"/>
        </w:rPr>
      </w:pPr>
    </w:p>
    <w:p w14:paraId="17ABB79D" w14:textId="77777777" w:rsidR="00FF114C" w:rsidRPr="00FA737C" w:rsidRDefault="00FF114C">
      <w:pPr>
        <w:rPr>
          <w:sz w:val="28"/>
          <w:szCs w:val="28"/>
          <w:u w:val="single"/>
        </w:rPr>
      </w:pPr>
    </w:p>
    <w:p w14:paraId="31AFAF98" w14:textId="77777777" w:rsidR="00FF114C" w:rsidRPr="00FA737C" w:rsidRDefault="00FF114C">
      <w:pPr>
        <w:rPr>
          <w:sz w:val="28"/>
          <w:szCs w:val="28"/>
          <w:u w:val="single"/>
        </w:rPr>
      </w:pPr>
    </w:p>
    <w:p w14:paraId="3BF01E7B" w14:textId="77777777" w:rsidR="006331D8" w:rsidRPr="00FA737C" w:rsidRDefault="00B92E6E" w:rsidP="00B92E6E">
      <w:pPr>
        <w:pStyle w:val="Heading1"/>
        <w:rPr>
          <w:rFonts w:ascii="Arial" w:hAnsi="Arial" w:cs="Arial"/>
          <w:b w:val="0"/>
          <w:color w:val="auto"/>
          <w:u w:val="single"/>
        </w:rPr>
      </w:pPr>
      <w:bookmarkStart w:id="0" w:name="_Toc464634966"/>
      <w:r w:rsidRPr="00FA737C">
        <w:rPr>
          <w:rFonts w:ascii="Arial" w:hAnsi="Arial" w:cs="Arial"/>
          <w:b w:val="0"/>
          <w:color w:val="auto"/>
          <w:u w:val="single"/>
        </w:rPr>
        <w:lastRenderedPageBreak/>
        <w:t>Abbreviations</w:t>
      </w:r>
      <w:bookmarkEnd w:id="0"/>
    </w:p>
    <w:p w14:paraId="05CE1A5F" w14:textId="77777777" w:rsidR="00B92E6E" w:rsidRPr="00FA737C" w:rsidRDefault="00B92E6E" w:rsidP="00B92E6E"/>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526"/>
        <w:gridCol w:w="5812"/>
      </w:tblGrid>
      <w:tr w:rsidR="001E6B9E" w:rsidRPr="00FA737C" w14:paraId="30CE8DAD" w14:textId="77777777" w:rsidTr="008A7606">
        <w:tc>
          <w:tcPr>
            <w:tcW w:w="1526" w:type="dxa"/>
          </w:tcPr>
          <w:p w14:paraId="4ED65F24" w14:textId="77777777" w:rsidR="001E6B9E" w:rsidRPr="00FA737C" w:rsidRDefault="001E6B9E" w:rsidP="00B92E6E">
            <w:r w:rsidRPr="00FA737C">
              <w:t>BEIS</w:t>
            </w:r>
          </w:p>
        </w:tc>
        <w:tc>
          <w:tcPr>
            <w:tcW w:w="5812" w:type="dxa"/>
          </w:tcPr>
          <w:p w14:paraId="110CBD80" w14:textId="77777777" w:rsidR="001E6B9E" w:rsidRPr="00FA737C" w:rsidRDefault="001E6B9E" w:rsidP="00B92E6E">
            <w:r w:rsidRPr="00FA737C">
              <w:t>Business, Energy and Industrial Strategy</w:t>
            </w:r>
          </w:p>
        </w:tc>
      </w:tr>
      <w:tr w:rsidR="001E6B9E" w:rsidRPr="00FA737C" w14:paraId="619289DB" w14:textId="77777777" w:rsidTr="008A7606">
        <w:tc>
          <w:tcPr>
            <w:tcW w:w="1526" w:type="dxa"/>
          </w:tcPr>
          <w:p w14:paraId="7F1DE5D5" w14:textId="77777777" w:rsidR="001E6B9E" w:rsidRPr="00FA737C" w:rsidRDefault="001E6B9E" w:rsidP="00B92E6E">
            <w:r w:rsidRPr="00FA737C">
              <w:t>COP</w:t>
            </w:r>
          </w:p>
        </w:tc>
        <w:tc>
          <w:tcPr>
            <w:tcW w:w="5812" w:type="dxa"/>
          </w:tcPr>
          <w:p w14:paraId="3907213A" w14:textId="77777777" w:rsidR="001E6B9E" w:rsidRPr="00FA737C" w:rsidRDefault="001E6B9E" w:rsidP="00B92E6E">
            <w:r w:rsidRPr="00FA737C">
              <w:t>Cessation of Production</w:t>
            </w:r>
          </w:p>
        </w:tc>
      </w:tr>
      <w:tr w:rsidR="001E6B9E" w:rsidRPr="00FA737C" w14:paraId="7F03106B" w14:textId="77777777" w:rsidTr="008A7606">
        <w:tc>
          <w:tcPr>
            <w:tcW w:w="1526" w:type="dxa"/>
          </w:tcPr>
          <w:p w14:paraId="4DBF83F4" w14:textId="77777777" w:rsidR="001E6B9E" w:rsidRPr="00FA737C" w:rsidRDefault="001E6B9E" w:rsidP="00B92E6E">
            <w:r w:rsidRPr="00FA737C">
              <w:t>DepCon</w:t>
            </w:r>
          </w:p>
        </w:tc>
        <w:tc>
          <w:tcPr>
            <w:tcW w:w="5812" w:type="dxa"/>
          </w:tcPr>
          <w:p w14:paraId="473608F9" w14:textId="77777777" w:rsidR="001E6B9E" w:rsidRPr="00FA737C" w:rsidRDefault="001E6B9E" w:rsidP="00B92E6E">
            <w:r w:rsidRPr="00FA737C">
              <w:t>Deposit Consent</w:t>
            </w:r>
          </w:p>
        </w:tc>
      </w:tr>
      <w:tr w:rsidR="001E6B9E" w:rsidRPr="00FA737C" w14:paraId="09BB01E4" w14:textId="77777777" w:rsidTr="008A7606">
        <w:tc>
          <w:tcPr>
            <w:tcW w:w="1526" w:type="dxa"/>
          </w:tcPr>
          <w:p w14:paraId="3399E284" w14:textId="77777777" w:rsidR="001E6B9E" w:rsidRPr="00FA737C" w:rsidRDefault="001E6B9E" w:rsidP="00B92E6E">
            <w:r w:rsidRPr="00FA737C">
              <w:t>DPN</w:t>
            </w:r>
          </w:p>
        </w:tc>
        <w:tc>
          <w:tcPr>
            <w:tcW w:w="5812" w:type="dxa"/>
          </w:tcPr>
          <w:p w14:paraId="3193AF5B" w14:textId="77777777" w:rsidR="001E6B9E" w:rsidRPr="00FA737C" w:rsidRDefault="001E6B9E" w:rsidP="00B92E6E">
            <w:r w:rsidRPr="00FA737C">
              <w:t>Disused Pipeline Notification</w:t>
            </w:r>
          </w:p>
        </w:tc>
      </w:tr>
      <w:tr w:rsidR="001E6B9E" w:rsidRPr="00FA737C" w14:paraId="2513A52D" w14:textId="77777777" w:rsidTr="008A7606">
        <w:tc>
          <w:tcPr>
            <w:tcW w:w="1526" w:type="dxa"/>
          </w:tcPr>
          <w:p w14:paraId="66443469" w14:textId="77777777" w:rsidR="001E6B9E" w:rsidRPr="00FA737C" w:rsidRDefault="001E6B9E" w:rsidP="00B92E6E">
            <w:r w:rsidRPr="00FA737C">
              <w:t>EMT</w:t>
            </w:r>
          </w:p>
        </w:tc>
        <w:tc>
          <w:tcPr>
            <w:tcW w:w="5812" w:type="dxa"/>
          </w:tcPr>
          <w:p w14:paraId="619B7CE7" w14:textId="77777777" w:rsidR="001E6B9E" w:rsidRPr="00FA737C" w:rsidRDefault="001E6B9E" w:rsidP="00B92E6E">
            <w:r w:rsidRPr="00FA737C">
              <w:t>Environmental Management Team</w:t>
            </w:r>
          </w:p>
        </w:tc>
      </w:tr>
      <w:tr w:rsidR="001E6B9E" w:rsidRPr="00FA737C" w14:paraId="3E5818E6" w14:textId="77777777" w:rsidTr="008A7606">
        <w:tc>
          <w:tcPr>
            <w:tcW w:w="1526" w:type="dxa"/>
          </w:tcPr>
          <w:p w14:paraId="7DB48177" w14:textId="77777777" w:rsidR="001E6B9E" w:rsidRPr="00FA737C" w:rsidRDefault="001E6B9E" w:rsidP="00B92E6E">
            <w:r w:rsidRPr="00FA737C">
              <w:t>ESDV</w:t>
            </w:r>
          </w:p>
        </w:tc>
        <w:tc>
          <w:tcPr>
            <w:tcW w:w="5812" w:type="dxa"/>
          </w:tcPr>
          <w:p w14:paraId="10D7B56F" w14:textId="77777777" w:rsidR="001E6B9E" w:rsidRPr="00FA737C" w:rsidRDefault="001E6B9E" w:rsidP="00B92E6E">
            <w:r w:rsidRPr="00FA737C">
              <w:t>Emergency Shutdown Valve</w:t>
            </w:r>
          </w:p>
        </w:tc>
      </w:tr>
      <w:tr w:rsidR="001E6B9E" w:rsidRPr="00FA737C" w14:paraId="23059B49" w14:textId="77777777" w:rsidTr="008A7606">
        <w:tc>
          <w:tcPr>
            <w:tcW w:w="1526" w:type="dxa"/>
          </w:tcPr>
          <w:p w14:paraId="54C00486" w14:textId="77777777" w:rsidR="001E6B9E" w:rsidRPr="00FA737C" w:rsidRDefault="001E6B9E" w:rsidP="00B92E6E">
            <w:r w:rsidRPr="00FA737C">
              <w:t>FEPA</w:t>
            </w:r>
          </w:p>
        </w:tc>
        <w:tc>
          <w:tcPr>
            <w:tcW w:w="5812" w:type="dxa"/>
          </w:tcPr>
          <w:p w14:paraId="657A61C4" w14:textId="77777777" w:rsidR="001E6B9E" w:rsidRPr="00FA737C" w:rsidRDefault="001E6B9E" w:rsidP="00B92E6E">
            <w:r w:rsidRPr="00FA737C">
              <w:t>Food and Environment Protection Act</w:t>
            </w:r>
          </w:p>
        </w:tc>
      </w:tr>
      <w:tr w:rsidR="001E6B9E" w:rsidRPr="00FA737C" w14:paraId="7FB9D696" w14:textId="77777777" w:rsidTr="008A7606">
        <w:tc>
          <w:tcPr>
            <w:tcW w:w="1526" w:type="dxa"/>
          </w:tcPr>
          <w:p w14:paraId="2922F565" w14:textId="77777777" w:rsidR="001E6B9E" w:rsidRPr="00FA737C" w:rsidRDefault="001E6B9E" w:rsidP="00B92E6E">
            <w:r w:rsidRPr="00FA737C">
              <w:t>FPSO</w:t>
            </w:r>
          </w:p>
        </w:tc>
        <w:tc>
          <w:tcPr>
            <w:tcW w:w="5812" w:type="dxa"/>
          </w:tcPr>
          <w:p w14:paraId="3D2CEE2C" w14:textId="77777777" w:rsidR="001E6B9E" w:rsidRPr="00FA737C" w:rsidRDefault="001E6B9E" w:rsidP="00B92E6E">
            <w:r w:rsidRPr="00FA737C">
              <w:t>Floating, Production, Storage and Offloading</w:t>
            </w:r>
          </w:p>
        </w:tc>
      </w:tr>
      <w:tr w:rsidR="001E6B9E" w:rsidRPr="00FA737C" w14:paraId="12448C17" w14:textId="77777777" w:rsidTr="008A7606">
        <w:tc>
          <w:tcPr>
            <w:tcW w:w="1526" w:type="dxa"/>
          </w:tcPr>
          <w:p w14:paraId="176A3912" w14:textId="77777777" w:rsidR="001E6B9E" w:rsidRPr="00FA737C" w:rsidRDefault="001E6B9E" w:rsidP="00B92E6E">
            <w:r w:rsidRPr="00FA737C">
              <w:t>HSE</w:t>
            </w:r>
          </w:p>
        </w:tc>
        <w:tc>
          <w:tcPr>
            <w:tcW w:w="5812" w:type="dxa"/>
          </w:tcPr>
          <w:p w14:paraId="611C35B0" w14:textId="77777777" w:rsidR="001E6B9E" w:rsidRPr="00FA737C" w:rsidRDefault="001E6B9E" w:rsidP="00B92E6E">
            <w:r w:rsidRPr="00FA737C">
              <w:t>Health and Safety Executive</w:t>
            </w:r>
          </w:p>
        </w:tc>
      </w:tr>
      <w:tr w:rsidR="001E6B9E" w:rsidRPr="00FA737C" w14:paraId="31507854" w14:textId="77777777" w:rsidTr="008A7606">
        <w:tc>
          <w:tcPr>
            <w:tcW w:w="1526" w:type="dxa"/>
          </w:tcPr>
          <w:p w14:paraId="6ABEF817" w14:textId="77777777" w:rsidR="001E6B9E" w:rsidRPr="00FA737C" w:rsidRDefault="001E6B9E" w:rsidP="00B92E6E">
            <w:r w:rsidRPr="00FA737C">
              <w:t>MAOP</w:t>
            </w:r>
          </w:p>
        </w:tc>
        <w:tc>
          <w:tcPr>
            <w:tcW w:w="5812" w:type="dxa"/>
          </w:tcPr>
          <w:p w14:paraId="3B406ADD" w14:textId="77777777" w:rsidR="001E6B9E" w:rsidRPr="00FA737C" w:rsidRDefault="001E6B9E" w:rsidP="00B92E6E">
            <w:r w:rsidRPr="00FA737C">
              <w:t>Maximum Allowable Operating Pressure</w:t>
            </w:r>
          </w:p>
        </w:tc>
      </w:tr>
      <w:tr w:rsidR="006F5FC2" w:rsidRPr="00FA737C" w14:paraId="1B5F32D9" w14:textId="77777777" w:rsidTr="008A7606">
        <w:tc>
          <w:tcPr>
            <w:tcW w:w="1526" w:type="dxa"/>
          </w:tcPr>
          <w:p w14:paraId="499B796B" w14:textId="66253689" w:rsidR="006F5FC2" w:rsidRPr="00FA737C" w:rsidRDefault="006F5FC2" w:rsidP="006F5FC2">
            <w:r>
              <w:t>NSTA</w:t>
            </w:r>
          </w:p>
        </w:tc>
        <w:tc>
          <w:tcPr>
            <w:tcW w:w="5812" w:type="dxa"/>
          </w:tcPr>
          <w:p w14:paraId="6C8DEA37" w14:textId="3CAA2440" w:rsidR="006F5FC2" w:rsidRPr="00FA737C" w:rsidRDefault="006F5FC2" w:rsidP="006F5FC2">
            <w:r>
              <w:t xml:space="preserve">North Sea Transition Authority </w:t>
            </w:r>
          </w:p>
        </w:tc>
      </w:tr>
      <w:tr w:rsidR="006F5FC2" w:rsidRPr="00FA737C" w14:paraId="05611970" w14:textId="77777777" w:rsidTr="008A7606">
        <w:tc>
          <w:tcPr>
            <w:tcW w:w="1526" w:type="dxa"/>
          </w:tcPr>
          <w:p w14:paraId="7724F266" w14:textId="77777777" w:rsidR="006F5FC2" w:rsidRPr="00FA737C" w:rsidRDefault="006F5FC2" w:rsidP="006F5FC2">
            <w:r w:rsidRPr="00FA737C">
              <w:t>ODU</w:t>
            </w:r>
          </w:p>
        </w:tc>
        <w:tc>
          <w:tcPr>
            <w:tcW w:w="5812" w:type="dxa"/>
          </w:tcPr>
          <w:p w14:paraId="5F74229F" w14:textId="77777777" w:rsidR="006F5FC2" w:rsidRPr="00FA737C" w:rsidRDefault="006F5FC2" w:rsidP="006F5FC2">
            <w:r w:rsidRPr="00FA737C">
              <w:t>Offshore Decommissioning Unit</w:t>
            </w:r>
          </w:p>
        </w:tc>
      </w:tr>
      <w:tr w:rsidR="006F5FC2" w:rsidRPr="00FA737C" w14:paraId="2412DB40" w14:textId="77777777" w:rsidTr="008A7606">
        <w:tc>
          <w:tcPr>
            <w:tcW w:w="1526" w:type="dxa"/>
          </w:tcPr>
          <w:p w14:paraId="6865931D" w14:textId="77777777" w:rsidR="006F5FC2" w:rsidRPr="00FA737C" w:rsidRDefault="006F5FC2" w:rsidP="006F5FC2">
            <w:r w:rsidRPr="00FA737C">
              <w:t>PWA</w:t>
            </w:r>
          </w:p>
        </w:tc>
        <w:tc>
          <w:tcPr>
            <w:tcW w:w="5812" w:type="dxa"/>
          </w:tcPr>
          <w:p w14:paraId="1BC9B433" w14:textId="77777777" w:rsidR="006F5FC2" w:rsidRPr="00FA737C" w:rsidRDefault="006F5FC2" w:rsidP="006F5FC2">
            <w:r w:rsidRPr="00FA737C">
              <w:t>Pipeline Works Authorisation</w:t>
            </w:r>
          </w:p>
        </w:tc>
      </w:tr>
      <w:tr w:rsidR="006F5FC2" w:rsidRPr="00FA737C" w14:paraId="0D8D542E" w14:textId="77777777" w:rsidTr="008A7606">
        <w:tc>
          <w:tcPr>
            <w:tcW w:w="1526" w:type="dxa"/>
          </w:tcPr>
          <w:p w14:paraId="0271EE1C" w14:textId="77777777" w:rsidR="006F5FC2" w:rsidRPr="00FA737C" w:rsidRDefault="006F5FC2" w:rsidP="006F5FC2">
            <w:r w:rsidRPr="00FA737C">
              <w:t>SEPA</w:t>
            </w:r>
          </w:p>
        </w:tc>
        <w:tc>
          <w:tcPr>
            <w:tcW w:w="5812" w:type="dxa"/>
          </w:tcPr>
          <w:p w14:paraId="67C86310" w14:textId="77777777" w:rsidR="006F5FC2" w:rsidRPr="00FA737C" w:rsidRDefault="006F5FC2" w:rsidP="006F5FC2">
            <w:r w:rsidRPr="00FA737C">
              <w:t>Scottish Environment Protection Agency</w:t>
            </w:r>
          </w:p>
        </w:tc>
      </w:tr>
      <w:tr w:rsidR="006F5FC2" w:rsidRPr="00FA737C" w14:paraId="1E2B3131" w14:textId="77777777" w:rsidTr="008A7606">
        <w:tc>
          <w:tcPr>
            <w:tcW w:w="1526" w:type="dxa"/>
          </w:tcPr>
          <w:p w14:paraId="01E31A64" w14:textId="77777777" w:rsidR="006F5FC2" w:rsidRPr="00FA737C" w:rsidRDefault="006F5FC2" w:rsidP="006F5FC2">
            <w:r w:rsidRPr="00FA737C">
              <w:t>WGS</w:t>
            </w:r>
          </w:p>
        </w:tc>
        <w:tc>
          <w:tcPr>
            <w:tcW w:w="5812" w:type="dxa"/>
          </w:tcPr>
          <w:p w14:paraId="00783238" w14:textId="77777777" w:rsidR="006F5FC2" w:rsidRPr="00FA737C" w:rsidRDefault="006F5FC2" w:rsidP="006F5FC2">
            <w:r w:rsidRPr="00FA737C">
              <w:t>World Geodetic System</w:t>
            </w:r>
          </w:p>
        </w:tc>
      </w:tr>
    </w:tbl>
    <w:p w14:paraId="7A0ADAAA" w14:textId="77777777" w:rsidR="00C82034" w:rsidRPr="00FA737C" w:rsidRDefault="00C82034" w:rsidP="00B92E6E"/>
    <w:p w14:paraId="0D73AFD3" w14:textId="77777777" w:rsidR="00B92E6E" w:rsidRPr="00FA737C" w:rsidRDefault="00B92E6E" w:rsidP="00ED6BC1">
      <w:pPr>
        <w:spacing w:before="100" w:beforeAutospacing="1" w:after="100" w:afterAutospacing="1"/>
        <w:rPr>
          <w:sz w:val="28"/>
          <w:szCs w:val="28"/>
          <w:u w:val="single"/>
        </w:rPr>
      </w:pPr>
    </w:p>
    <w:p w14:paraId="2A2CD77E" w14:textId="77777777" w:rsidR="00B92E6E" w:rsidRPr="00FA737C" w:rsidRDefault="00B92E6E" w:rsidP="00ED6BC1">
      <w:pPr>
        <w:spacing w:before="100" w:beforeAutospacing="1" w:after="100" w:afterAutospacing="1"/>
        <w:rPr>
          <w:sz w:val="28"/>
          <w:szCs w:val="28"/>
          <w:u w:val="single"/>
        </w:rPr>
      </w:pPr>
    </w:p>
    <w:p w14:paraId="1553CC33" w14:textId="77777777" w:rsidR="00B92E6E" w:rsidRPr="00FA737C" w:rsidRDefault="00B92E6E" w:rsidP="00ED6BC1">
      <w:pPr>
        <w:spacing w:before="100" w:beforeAutospacing="1" w:after="100" w:afterAutospacing="1"/>
        <w:rPr>
          <w:sz w:val="28"/>
          <w:szCs w:val="28"/>
          <w:u w:val="single"/>
        </w:rPr>
      </w:pPr>
    </w:p>
    <w:p w14:paraId="4ACD88AF" w14:textId="77777777" w:rsidR="00B92E6E" w:rsidRPr="00FA737C" w:rsidRDefault="00B92E6E" w:rsidP="00ED6BC1">
      <w:pPr>
        <w:spacing w:before="100" w:beforeAutospacing="1" w:after="100" w:afterAutospacing="1"/>
        <w:rPr>
          <w:sz w:val="28"/>
          <w:szCs w:val="28"/>
          <w:u w:val="single"/>
        </w:rPr>
      </w:pPr>
    </w:p>
    <w:p w14:paraId="4A017857" w14:textId="77777777" w:rsidR="00B92E6E" w:rsidRPr="00FA737C" w:rsidRDefault="00B92E6E" w:rsidP="00ED6BC1">
      <w:pPr>
        <w:spacing w:before="100" w:beforeAutospacing="1" w:after="100" w:afterAutospacing="1"/>
        <w:rPr>
          <w:sz w:val="28"/>
          <w:szCs w:val="28"/>
          <w:u w:val="single"/>
        </w:rPr>
      </w:pPr>
    </w:p>
    <w:p w14:paraId="3572887C" w14:textId="77777777" w:rsidR="00B92E6E" w:rsidRPr="00FA737C" w:rsidRDefault="00B92E6E" w:rsidP="00ED6BC1">
      <w:pPr>
        <w:spacing w:before="100" w:beforeAutospacing="1" w:after="100" w:afterAutospacing="1"/>
        <w:rPr>
          <w:sz w:val="28"/>
          <w:szCs w:val="28"/>
          <w:u w:val="single"/>
        </w:rPr>
      </w:pPr>
    </w:p>
    <w:p w14:paraId="05EABF96" w14:textId="77777777" w:rsidR="00B92E6E" w:rsidRPr="00FA737C" w:rsidRDefault="00B92E6E" w:rsidP="00ED6BC1">
      <w:pPr>
        <w:spacing w:before="100" w:beforeAutospacing="1" w:after="100" w:afterAutospacing="1"/>
        <w:rPr>
          <w:sz w:val="28"/>
          <w:szCs w:val="28"/>
          <w:u w:val="single"/>
        </w:rPr>
      </w:pPr>
    </w:p>
    <w:p w14:paraId="19C49C5C" w14:textId="77777777" w:rsidR="00B92E6E" w:rsidRPr="00FA737C" w:rsidRDefault="00B92E6E" w:rsidP="00ED6BC1">
      <w:pPr>
        <w:spacing w:before="100" w:beforeAutospacing="1" w:after="100" w:afterAutospacing="1"/>
        <w:rPr>
          <w:sz w:val="28"/>
          <w:szCs w:val="28"/>
          <w:u w:val="single"/>
        </w:rPr>
      </w:pPr>
    </w:p>
    <w:p w14:paraId="26AF381C" w14:textId="77777777" w:rsidR="00B92E6E" w:rsidRPr="00FA737C" w:rsidRDefault="00B92E6E" w:rsidP="00ED6BC1">
      <w:pPr>
        <w:spacing w:before="100" w:beforeAutospacing="1" w:after="100" w:afterAutospacing="1"/>
        <w:rPr>
          <w:sz w:val="28"/>
          <w:szCs w:val="28"/>
          <w:u w:val="single"/>
        </w:rPr>
      </w:pPr>
    </w:p>
    <w:p w14:paraId="2B0856FA" w14:textId="77777777" w:rsidR="00B92E6E" w:rsidRPr="00FA737C" w:rsidRDefault="00B92E6E" w:rsidP="00ED6BC1">
      <w:pPr>
        <w:spacing w:before="100" w:beforeAutospacing="1" w:after="100" w:afterAutospacing="1"/>
        <w:rPr>
          <w:sz w:val="28"/>
          <w:szCs w:val="28"/>
          <w:u w:val="single"/>
        </w:rPr>
      </w:pPr>
    </w:p>
    <w:p w14:paraId="79FD6F43" w14:textId="77777777" w:rsidR="00B92E6E" w:rsidRPr="00FA737C" w:rsidRDefault="00B92E6E" w:rsidP="00ED6BC1">
      <w:pPr>
        <w:spacing w:before="100" w:beforeAutospacing="1" w:after="100" w:afterAutospacing="1"/>
        <w:rPr>
          <w:sz w:val="28"/>
          <w:szCs w:val="28"/>
          <w:u w:val="single"/>
        </w:rPr>
      </w:pPr>
    </w:p>
    <w:p w14:paraId="0AA25142" w14:textId="77777777" w:rsidR="00B92E6E" w:rsidRPr="00FA737C" w:rsidRDefault="00B92E6E" w:rsidP="00ED6BC1">
      <w:pPr>
        <w:spacing w:before="100" w:beforeAutospacing="1" w:after="100" w:afterAutospacing="1"/>
        <w:rPr>
          <w:sz w:val="28"/>
          <w:szCs w:val="28"/>
          <w:u w:val="single"/>
        </w:rPr>
      </w:pPr>
    </w:p>
    <w:p w14:paraId="10140475" w14:textId="77777777" w:rsidR="00033BEF" w:rsidRPr="00FA737C" w:rsidRDefault="00033BEF" w:rsidP="00E52FB8">
      <w:pPr>
        <w:spacing w:before="100" w:beforeAutospacing="1"/>
        <w:contextualSpacing/>
        <w:rPr>
          <w:sz w:val="28"/>
          <w:szCs w:val="28"/>
          <w:u w:val="single"/>
        </w:rPr>
      </w:pPr>
    </w:p>
    <w:p w14:paraId="65A7F1F0" w14:textId="19E21507" w:rsidR="00441583" w:rsidRDefault="00441583" w:rsidP="00E52FB8">
      <w:pPr>
        <w:spacing w:before="100" w:beforeAutospacing="1"/>
        <w:contextualSpacing/>
        <w:rPr>
          <w:sz w:val="28"/>
          <w:szCs w:val="28"/>
          <w:u w:val="single"/>
        </w:rPr>
      </w:pPr>
    </w:p>
    <w:p w14:paraId="114D7BB2" w14:textId="77777777" w:rsidR="00FA737C" w:rsidRPr="00FA737C" w:rsidRDefault="00FA737C" w:rsidP="00E52FB8">
      <w:pPr>
        <w:spacing w:before="100" w:beforeAutospacing="1"/>
        <w:contextualSpacing/>
        <w:rPr>
          <w:sz w:val="28"/>
          <w:szCs w:val="28"/>
          <w:u w:val="single"/>
        </w:rPr>
      </w:pPr>
    </w:p>
    <w:p w14:paraId="76F97D45" w14:textId="77777777" w:rsidR="005A3723" w:rsidRPr="00FA737C" w:rsidRDefault="005A3723" w:rsidP="00E52FB8">
      <w:pPr>
        <w:spacing w:before="100" w:beforeAutospacing="1"/>
        <w:contextualSpacing/>
        <w:rPr>
          <w:sz w:val="28"/>
          <w:szCs w:val="28"/>
          <w:u w:val="single"/>
        </w:rPr>
      </w:pPr>
      <w:r w:rsidRPr="00FA737C">
        <w:rPr>
          <w:sz w:val="28"/>
          <w:szCs w:val="28"/>
          <w:u w:val="single"/>
        </w:rPr>
        <w:lastRenderedPageBreak/>
        <w:t>Recommendations</w:t>
      </w:r>
    </w:p>
    <w:p w14:paraId="5C47AE49" w14:textId="77777777" w:rsidR="00441583" w:rsidRPr="00FA737C" w:rsidRDefault="00441583" w:rsidP="00E52FB8">
      <w:pPr>
        <w:spacing w:before="100" w:beforeAutospacing="1"/>
        <w:contextualSpacing/>
        <w:rPr>
          <w:sz w:val="28"/>
          <w:szCs w:val="28"/>
          <w:u w:val="single"/>
        </w:rPr>
      </w:pPr>
    </w:p>
    <w:p w14:paraId="44F607DA" w14:textId="77777777" w:rsidR="00337DE9" w:rsidRPr="00FA737C" w:rsidRDefault="003B3255" w:rsidP="00E52FB8">
      <w:pPr>
        <w:pStyle w:val="Heading1"/>
        <w:spacing w:before="0" w:after="120"/>
        <w:contextualSpacing/>
        <w:rPr>
          <w:rFonts w:ascii="Arial" w:hAnsi="Arial" w:cs="Arial"/>
          <w:b w:val="0"/>
          <w:color w:val="auto"/>
          <w:u w:val="single"/>
        </w:rPr>
      </w:pPr>
      <w:bookmarkStart w:id="1" w:name="_Toc464634967"/>
      <w:r w:rsidRPr="00FA737C">
        <w:rPr>
          <w:rFonts w:ascii="Arial" w:hAnsi="Arial" w:cs="Arial"/>
          <w:b w:val="0"/>
          <w:color w:val="auto"/>
          <w:u w:val="single"/>
        </w:rPr>
        <w:t>Initial Meeting</w:t>
      </w:r>
      <w:bookmarkEnd w:id="1"/>
    </w:p>
    <w:p w14:paraId="2D980E2A" w14:textId="7BBE94C4" w:rsidR="00065929" w:rsidRDefault="00337DE9" w:rsidP="00526EAD">
      <w:pPr>
        <w:spacing w:after="0"/>
        <w:contextualSpacing/>
      </w:pPr>
      <w:r w:rsidRPr="00FA737C">
        <w:t>An initial kick off meeting should be held between an Operator and the</w:t>
      </w:r>
      <w:r w:rsidR="00E70072">
        <w:t xml:space="preserve"> NSTA</w:t>
      </w:r>
      <w:r w:rsidRPr="00FA737C">
        <w:t xml:space="preserve"> </w:t>
      </w:r>
      <w:r w:rsidR="00C108A3" w:rsidRPr="00FA737C">
        <w:t xml:space="preserve">Consents &amp; Authorisations team </w:t>
      </w:r>
      <w:r w:rsidRPr="00FA737C">
        <w:t>at least a year in advance of proposed pipeline works</w:t>
      </w:r>
      <w:r w:rsidR="00105D9D" w:rsidRPr="00FA737C">
        <w:t xml:space="preserve">. This meeting will be to discuss the </w:t>
      </w:r>
      <w:r w:rsidR="00AA6FD6" w:rsidRPr="00FA737C">
        <w:t>Pipeline Works Authorisation (</w:t>
      </w:r>
      <w:r w:rsidR="00105D9D" w:rsidRPr="00FA737C">
        <w:t>PWA</w:t>
      </w:r>
      <w:r w:rsidR="00AA6FD6" w:rsidRPr="00FA737C">
        <w:t>)</w:t>
      </w:r>
      <w:r w:rsidR="00105D9D" w:rsidRPr="00FA737C">
        <w:t xml:space="preserve"> Variation requirements and timings for submission of </w:t>
      </w:r>
      <w:r w:rsidR="001A0B55">
        <w:t xml:space="preserve">portal </w:t>
      </w:r>
      <w:r w:rsidR="00105D9D" w:rsidRPr="00FA737C">
        <w:t>applications.</w:t>
      </w:r>
      <w:r w:rsidR="00AA6FD6" w:rsidRPr="00FA737C">
        <w:t xml:space="preserve"> </w:t>
      </w:r>
    </w:p>
    <w:p w14:paraId="66F4DAE2" w14:textId="5A7DF627" w:rsidR="00220B22" w:rsidRDefault="00220B22" w:rsidP="00526EAD">
      <w:pPr>
        <w:spacing w:after="0"/>
        <w:contextualSpacing/>
      </w:pPr>
    </w:p>
    <w:p w14:paraId="1CC5AB73" w14:textId="4C0DBC6D" w:rsidR="00F950CB" w:rsidRDefault="00624CCF" w:rsidP="00526EAD">
      <w:pPr>
        <w:spacing w:after="0"/>
        <w:contextualSpacing/>
      </w:pPr>
      <w:r>
        <w:t xml:space="preserve">The </w:t>
      </w:r>
      <w:r w:rsidR="00DD3585">
        <w:t xml:space="preserve">Operator should complete the ‘Proposed application summary’ Spreadsheet. This must be </w:t>
      </w:r>
      <w:r w:rsidR="00F950CB">
        <w:t>submitted to the NSTA</w:t>
      </w:r>
      <w:r w:rsidR="003D22AC">
        <w:t xml:space="preserve"> in advance of the initial meetin</w:t>
      </w:r>
      <w:r w:rsidR="00F950CB">
        <w:t>g</w:t>
      </w:r>
      <w:r w:rsidR="003562B0">
        <w:t>. This will</w:t>
      </w:r>
      <w:r w:rsidR="003D22AC">
        <w:t xml:space="preserve"> allow </w:t>
      </w:r>
      <w:r w:rsidR="003562B0">
        <w:t>time for review and</w:t>
      </w:r>
      <w:r w:rsidR="003D22AC">
        <w:t xml:space="preserve"> to prepare the guidelines and requirements</w:t>
      </w:r>
      <w:r w:rsidR="00F950CB">
        <w:t>.</w:t>
      </w:r>
    </w:p>
    <w:p w14:paraId="02587FFD" w14:textId="70E3BA09" w:rsidR="00F950CB" w:rsidRPr="00FA737C" w:rsidRDefault="00F950CB" w:rsidP="00526EAD">
      <w:pPr>
        <w:spacing w:after="0"/>
        <w:contextualSpacing/>
      </w:pPr>
      <w:hyperlink r:id="rId15" w:history="1">
        <w:r>
          <w:rPr>
            <w:rStyle w:val="Hyperlink"/>
          </w:rPr>
          <w:t>Proposed Application Summary Template.xlsx (sharepoint.com)</w:t>
        </w:r>
      </w:hyperlink>
      <w:r>
        <w:t xml:space="preserve"> </w:t>
      </w:r>
    </w:p>
    <w:p w14:paraId="3D641E2D" w14:textId="77777777" w:rsidR="00065929" w:rsidRPr="00FA737C" w:rsidRDefault="00065929" w:rsidP="00526EAD">
      <w:pPr>
        <w:pStyle w:val="ListParagraph"/>
        <w:spacing w:after="0"/>
        <w:ind w:left="360"/>
      </w:pPr>
    </w:p>
    <w:p w14:paraId="44E671AC" w14:textId="0EE614F3" w:rsidR="00065929" w:rsidRPr="00FA737C" w:rsidRDefault="00065929" w:rsidP="00526EAD">
      <w:pPr>
        <w:spacing w:after="0"/>
      </w:pPr>
    </w:p>
    <w:p w14:paraId="57A3BEB5" w14:textId="77777777" w:rsidR="009A1AAB" w:rsidRPr="00FA737C" w:rsidRDefault="009A1AAB" w:rsidP="00526EAD">
      <w:pPr>
        <w:spacing w:after="0"/>
      </w:pPr>
    </w:p>
    <w:p w14:paraId="3FD7FCD2" w14:textId="260C6FD1" w:rsidR="00065929" w:rsidRPr="00FA737C" w:rsidRDefault="006E7A91" w:rsidP="00526EAD">
      <w:pPr>
        <w:spacing w:after="0"/>
        <w:jc w:val="left"/>
      </w:pPr>
      <w:hyperlink r:id="rId16" w:history="1">
        <w:r w:rsidRPr="00FA737C">
          <w:rPr>
            <w:rStyle w:val="Hyperlink"/>
          </w:rPr>
          <w:t>PWA Decommissioning Variation Template Coversheet.docx</w:t>
        </w:r>
      </w:hyperlink>
      <w:r w:rsidR="00220B22">
        <w:rPr>
          <w:rStyle w:val="Hyperlink"/>
        </w:rPr>
        <w:t xml:space="preserve"> – I </w:t>
      </w:r>
      <w:proofErr w:type="spellStart"/>
      <w:proofErr w:type="gramStart"/>
      <w:r w:rsidR="00220B22">
        <w:rPr>
          <w:rStyle w:val="Hyperlink"/>
        </w:rPr>
        <w:t>cant</w:t>
      </w:r>
      <w:proofErr w:type="spellEnd"/>
      <w:proofErr w:type="gramEnd"/>
      <w:r w:rsidR="00220B22">
        <w:rPr>
          <w:rStyle w:val="Hyperlink"/>
        </w:rPr>
        <w:t xml:space="preserve"> access this link</w:t>
      </w:r>
    </w:p>
    <w:p w14:paraId="5C0AE0AD" w14:textId="77777777" w:rsidR="00A079FA" w:rsidRPr="00FA737C" w:rsidRDefault="00A079FA" w:rsidP="00E52FB8">
      <w:pPr>
        <w:contextualSpacing/>
      </w:pPr>
    </w:p>
    <w:p w14:paraId="285A2544" w14:textId="77777777" w:rsidR="00781194" w:rsidRPr="00FA737C" w:rsidRDefault="00781194" w:rsidP="00FF700D">
      <w:pPr>
        <w:pStyle w:val="Heading1"/>
        <w:spacing w:before="0"/>
        <w:rPr>
          <w:rFonts w:ascii="Arial" w:hAnsi="Arial" w:cs="Arial"/>
          <w:b w:val="0"/>
          <w:color w:val="auto"/>
          <w:u w:val="single"/>
        </w:rPr>
      </w:pPr>
      <w:bookmarkStart w:id="2" w:name="_Toc464634968"/>
      <w:r w:rsidRPr="00FA737C">
        <w:rPr>
          <w:rFonts w:ascii="Arial" w:hAnsi="Arial" w:cs="Arial"/>
          <w:b w:val="0"/>
          <w:color w:val="auto"/>
          <w:u w:val="single"/>
        </w:rPr>
        <w:t>Timings</w:t>
      </w:r>
      <w:bookmarkEnd w:id="2"/>
    </w:p>
    <w:p w14:paraId="25546212" w14:textId="77777777" w:rsidR="00FF700D" w:rsidRPr="00FA737C" w:rsidRDefault="00FF700D" w:rsidP="00FF700D">
      <w:pPr>
        <w:spacing w:after="0"/>
      </w:pPr>
    </w:p>
    <w:p w14:paraId="31430124" w14:textId="4E919592" w:rsidR="00781194" w:rsidRPr="00FA737C" w:rsidRDefault="00FB1E4B" w:rsidP="00E4554D">
      <w:r w:rsidRPr="00FA737C">
        <w:t xml:space="preserve">Please refer to the </w:t>
      </w:r>
      <w:r w:rsidR="002C12E6">
        <w:t>NST</w:t>
      </w:r>
      <w:r w:rsidRPr="00FA737C">
        <w:t xml:space="preserve">A website for current </w:t>
      </w:r>
      <w:r w:rsidR="00781194" w:rsidRPr="00FA737C">
        <w:t xml:space="preserve">timings for </w:t>
      </w:r>
      <w:r w:rsidR="005320D0">
        <w:t xml:space="preserve">portal </w:t>
      </w:r>
      <w:r w:rsidR="00781194" w:rsidRPr="00FA737C">
        <w:t>application submiss</w:t>
      </w:r>
      <w:r w:rsidR="00A92EE6" w:rsidRPr="00FA737C">
        <w:t>ions. The</w:t>
      </w:r>
      <w:r w:rsidR="002C12E6">
        <w:t xml:space="preserve"> NST</w:t>
      </w:r>
      <w:r w:rsidR="00A92EE6" w:rsidRPr="00FA737C">
        <w:t>A requires 6 months</w:t>
      </w:r>
      <w:r w:rsidR="00781194" w:rsidRPr="00FA737C">
        <w:t xml:space="preserve"> on receipt of a satisfact</w:t>
      </w:r>
      <w:r w:rsidRPr="00FA737C">
        <w:t>ory PWA</w:t>
      </w:r>
      <w:r w:rsidR="00781194" w:rsidRPr="00FA737C">
        <w:t xml:space="preserve"> application</w:t>
      </w:r>
      <w:r w:rsidRPr="00FA737C">
        <w:t xml:space="preserve"> to progress through to the consent approval</w:t>
      </w:r>
      <w:r w:rsidR="00F80560" w:rsidRPr="00FA737C">
        <w:t>.</w:t>
      </w:r>
    </w:p>
    <w:p w14:paraId="728F892F" w14:textId="365814AC" w:rsidR="00640819" w:rsidRPr="00FA737C" w:rsidRDefault="0049098E" w:rsidP="00E4554D">
      <w:hyperlink r:id="rId17" w:history="1">
        <w:r>
          <w:rPr>
            <w:rStyle w:val="Hyperlink"/>
          </w:rPr>
          <w:t>North Sea Transition Authority (NSTA): PWA applications - Pipeline Works Authorisations - Consents - Licensing &amp; &lt;</w:t>
        </w:r>
        <w:proofErr w:type="spellStart"/>
        <w:r>
          <w:rPr>
            <w:rStyle w:val="Hyperlink"/>
          </w:rPr>
          <w:t>br</w:t>
        </w:r>
        <w:proofErr w:type="spellEnd"/>
        <w:r>
          <w:rPr>
            <w:rStyle w:val="Hyperlink"/>
          </w:rPr>
          <w:t>/&gt;consents (nstauthority.co.uk)</w:t>
        </w:r>
      </w:hyperlink>
      <w:r>
        <w:t xml:space="preserve"> </w:t>
      </w:r>
    </w:p>
    <w:p w14:paraId="078EB861" w14:textId="2271AFBD" w:rsidR="00321693" w:rsidRPr="00FA737C" w:rsidRDefault="00526EAD" w:rsidP="00321693">
      <w:r>
        <w:t>There is a mandatory consultation stage which last</w:t>
      </w:r>
      <w:r w:rsidR="004C1536">
        <w:t>s</w:t>
      </w:r>
      <w:r>
        <w:t xml:space="preserve"> 28 days to allow all </w:t>
      </w:r>
      <w:r w:rsidR="004C1536">
        <w:t>consultee</w:t>
      </w:r>
      <w:r w:rsidR="0049098E">
        <w:t>s</w:t>
      </w:r>
      <w:r w:rsidR="004C1536">
        <w:t xml:space="preserve"> to provide technical feedback and/or approval </w:t>
      </w:r>
      <w:r w:rsidR="00BA759A">
        <w:t xml:space="preserve">on the proposed works. For particularly large scopes of works please do allow sufficient timings for the NSTA to review and consider your application. </w:t>
      </w:r>
      <w:r w:rsidR="0049098E">
        <w:t>Therefore,</w:t>
      </w:r>
      <w:r w:rsidR="00321693">
        <w:t xml:space="preserve"> the PWA applicant may consider arranging corresponding meetings with HSE, BEIS ODU and BEIS EMT</w:t>
      </w:r>
      <w:r w:rsidR="00DF2D6C">
        <w:t xml:space="preserve"> </w:t>
      </w:r>
      <w:r w:rsidR="00321693">
        <w:t>to discuss works and schedule.</w:t>
      </w:r>
    </w:p>
    <w:p w14:paraId="09440EB9" w14:textId="77777777" w:rsidR="00362983" w:rsidRPr="00FA737C" w:rsidRDefault="00362983" w:rsidP="00362983">
      <w:pPr>
        <w:pStyle w:val="Heading1"/>
        <w:spacing w:after="200"/>
        <w:rPr>
          <w:rFonts w:ascii="Arial" w:hAnsi="Arial" w:cs="Arial"/>
          <w:b w:val="0"/>
          <w:color w:val="auto"/>
          <w:u w:val="single"/>
        </w:rPr>
      </w:pPr>
      <w:bookmarkStart w:id="3" w:name="_Toc464634969"/>
      <w:r w:rsidRPr="00FA737C">
        <w:rPr>
          <w:rFonts w:ascii="Arial" w:hAnsi="Arial" w:cs="Arial"/>
          <w:b w:val="0"/>
          <w:color w:val="auto"/>
          <w:u w:val="single"/>
        </w:rPr>
        <w:t>PWA Variation Approval Process</w:t>
      </w:r>
      <w:bookmarkEnd w:id="3"/>
    </w:p>
    <w:p w14:paraId="12F58C80" w14:textId="77777777" w:rsidR="0037432B" w:rsidRPr="00FA737C" w:rsidRDefault="0037432B" w:rsidP="0C9DDB97">
      <w:pPr>
        <w:numPr>
          <w:ilvl w:val="0"/>
          <w:numId w:val="9"/>
        </w:numPr>
        <w:spacing w:after="200"/>
        <w:ind w:left="357" w:hanging="357"/>
        <w:rPr>
          <w:lang w:val="en-US"/>
        </w:rPr>
      </w:pPr>
      <w:r w:rsidRPr="0C9DDB97">
        <w:rPr>
          <w:lang w:val="en-US"/>
        </w:rPr>
        <w:t xml:space="preserve">An initial </w:t>
      </w:r>
      <w:proofErr w:type="gramStart"/>
      <w:r w:rsidRPr="0C9DDB97">
        <w:rPr>
          <w:lang w:val="en-US"/>
        </w:rPr>
        <w:t>kick off</w:t>
      </w:r>
      <w:proofErr w:type="gramEnd"/>
      <w:r w:rsidRPr="0C9DDB97">
        <w:rPr>
          <w:lang w:val="en-US"/>
        </w:rPr>
        <w:t xml:space="preserve"> meeting should be arranged </w:t>
      </w:r>
      <w:r w:rsidR="00403D48" w:rsidRPr="0C9DDB97">
        <w:rPr>
          <w:lang w:val="en-US"/>
        </w:rPr>
        <w:t xml:space="preserve">by the Operator </w:t>
      </w:r>
      <w:r w:rsidRPr="0C9DDB97">
        <w:rPr>
          <w:lang w:val="en-US"/>
        </w:rPr>
        <w:t>to discuss timings, project work scope and the PWA Variation submission</w:t>
      </w:r>
      <w:r w:rsidR="00A9349D" w:rsidRPr="0C9DDB97">
        <w:rPr>
          <w:lang w:val="en-US"/>
        </w:rPr>
        <w:t xml:space="preserve"> guidance.</w:t>
      </w:r>
    </w:p>
    <w:p w14:paraId="711BD44D" w14:textId="05536D90" w:rsidR="00A9349D" w:rsidRPr="00FA737C" w:rsidRDefault="00A9349D" w:rsidP="0C9DDB97">
      <w:pPr>
        <w:numPr>
          <w:ilvl w:val="0"/>
          <w:numId w:val="9"/>
        </w:numPr>
        <w:spacing w:after="200"/>
        <w:ind w:left="357" w:hanging="357"/>
        <w:rPr>
          <w:lang w:val="en-US"/>
        </w:rPr>
      </w:pPr>
      <w:r w:rsidRPr="0C9DDB97">
        <w:rPr>
          <w:lang w:val="en-US"/>
        </w:rPr>
        <w:t xml:space="preserve">If the field is planned for Decommissioning, then a COP document will be required for submission to the </w:t>
      </w:r>
      <w:r w:rsidR="00041E36" w:rsidRPr="0C9DDB97">
        <w:rPr>
          <w:lang w:val="en-US"/>
        </w:rPr>
        <w:t>NST</w:t>
      </w:r>
      <w:r w:rsidRPr="0C9DDB97">
        <w:rPr>
          <w:lang w:val="en-US"/>
        </w:rPr>
        <w:t xml:space="preserve">A for review and approval. No </w:t>
      </w:r>
      <w:proofErr w:type="gramStart"/>
      <w:r w:rsidRPr="0C9DDB97">
        <w:rPr>
          <w:lang w:val="en-US"/>
        </w:rPr>
        <w:t>works</w:t>
      </w:r>
      <w:proofErr w:type="gramEnd"/>
      <w:r w:rsidRPr="0C9DDB97">
        <w:rPr>
          <w:lang w:val="en-US"/>
        </w:rPr>
        <w:t xml:space="preserve"> may be undertaken even to decommission pipelines without COP approval and associated consents discussed below.</w:t>
      </w:r>
      <w:r w:rsidR="00184AAC" w:rsidRPr="0C9DDB97">
        <w:rPr>
          <w:lang w:val="en-US"/>
        </w:rPr>
        <w:t xml:space="preserve"> </w:t>
      </w:r>
      <w:r w:rsidR="00B15473" w:rsidRPr="0C9DDB97">
        <w:rPr>
          <w:lang w:val="en-US"/>
        </w:rPr>
        <w:t>– this may change but left as is for now</w:t>
      </w:r>
    </w:p>
    <w:p w14:paraId="53AC8AF4" w14:textId="76EA7F0F" w:rsidR="00362983" w:rsidRPr="00FA737C" w:rsidRDefault="00362983" w:rsidP="00362983">
      <w:pPr>
        <w:numPr>
          <w:ilvl w:val="0"/>
          <w:numId w:val="9"/>
        </w:numPr>
        <w:spacing w:after="200"/>
        <w:ind w:left="357" w:hanging="357"/>
        <w:rPr>
          <w:lang w:val="en"/>
        </w:rPr>
      </w:pPr>
    </w:p>
    <w:p w14:paraId="1D5B8B95" w14:textId="67DD1835" w:rsidR="00362983" w:rsidRPr="00FA737C" w:rsidRDefault="0010364C" w:rsidP="0C9DDB97">
      <w:pPr>
        <w:numPr>
          <w:ilvl w:val="0"/>
          <w:numId w:val="9"/>
        </w:numPr>
        <w:spacing w:after="200"/>
        <w:ind w:left="357" w:hanging="357"/>
        <w:rPr>
          <w:lang w:val="en-US"/>
        </w:rPr>
      </w:pPr>
      <w:r w:rsidRPr="0C9DDB97">
        <w:rPr>
          <w:lang w:val="en-US"/>
        </w:rPr>
        <w:t>Final satisfactory portal application received which will be forwarded to consultee</w:t>
      </w:r>
      <w:r w:rsidR="00AC25D2" w:rsidRPr="0C9DDB97">
        <w:rPr>
          <w:lang w:val="en-US"/>
        </w:rPr>
        <w:t>s</w:t>
      </w:r>
      <w:r w:rsidR="00362983" w:rsidRPr="0C9DDB97">
        <w:rPr>
          <w:lang w:val="en-US"/>
        </w:rPr>
        <w:t xml:space="preserve"> for </w:t>
      </w:r>
      <w:r w:rsidR="0034539C" w:rsidRPr="0C9DDB97">
        <w:rPr>
          <w:lang w:val="en-US"/>
        </w:rPr>
        <w:t>review</w:t>
      </w:r>
      <w:r w:rsidR="00403D48" w:rsidRPr="0C9DDB97">
        <w:rPr>
          <w:lang w:val="en-US"/>
        </w:rPr>
        <w:t xml:space="preserve">. All </w:t>
      </w:r>
      <w:r w:rsidR="00BE2A00" w:rsidRPr="0C9DDB97">
        <w:rPr>
          <w:lang w:val="en-US"/>
        </w:rPr>
        <w:t>consultee</w:t>
      </w:r>
      <w:r w:rsidR="00AC25D2" w:rsidRPr="0C9DDB97">
        <w:rPr>
          <w:lang w:val="en-US"/>
        </w:rPr>
        <w:t>s</w:t>
      </w:r>
      <w:r w:rsidR="00362983" w:rsidRPr="0C9DDB97">
        <w:rPr>
          <w:lang w:val="en-US"/>
        </w:rPr>
        <w:t xml:space="preserve"> are asked to respond within 28 days.</w:t>
      </w:r>
    </w:p>
    <w:p w14:paraId="5C069DE8" w14:textId="00645A0E" w:rsidR="0010364C" w:rsidRPr="00FA737C" w:rsidRDefault="0010364C" w:rsidP="0C9DDB97">
      <w:pPr>
        <w:numPr>
          <w:ilvl w:val="0"/>
          <w:numId w:val="9"/>
        </w:numPr>
        <w:spacing w:after="200"/>
        <w:ind w:left="357" w:hanging="357"/>
        <w:rPr>
          <w:lang w:val="en-US"/>
        </w:rPr>
      </w:pPr>
      <w:r w:rsidRPr="0C9DDB97">
        <w:rPr>
          <w:lang w:val="en-US"/>
        </w:rPr>
        <w:t xml:space="preserve">The applicant should discuss all environmental requirements with BEIS Environmental Management Team (EMT) early in the process. EMT can be </w:t>
      </w:r>
      <w:r w:rsidRPr="0C9DDB97">
        <w:rPr>
          <w:lang w:val="en-US"/>
        </w:rPr>
        <w:lastRenderedPageBreak/>
        <w:t xml:space="preserve">contacted at </w:t>
      </w:r>
      <w:hyperlink r:id="rId18">
        <w:r w:rsidR="00441583" w:rsidRPr="0C9DDB97">
          <w:rPr>
            <w:rStyle w:val="Hyperlink"/>
            <w:lang w:val="en-US"/>
          </w:rPr>
          <w:t>bst@beis.gov.uk</w:t>
        </w:r>
      </w:hyperlink>
      <w:r w:rsidR="00442F89" w:rsidRPr="0C9DDB97">
        <w:rPr>
          <w:lang w:val="en-US"/>
        </w:rPr>
        <w:t xml:space="preserve">. The </w:t>
      </w:r>
      <w:r w:rsidR="00041E36" w:rsidRPr="0C9DDB97">
        <w:rPr>
          <w:lang w:val="en-US"/>
        </w:rPr>
        <w:t>NST</w:t>
      </w:r>
      <w:r w:rsidR="00442F89" w:rsidRPr="0C9DDB97">
        <w:rPr>
          <w:lang w:val="en-US"/>
        </w:rPr>
        <w:t xml:space="preserve">A </w:t>
      </w:r>
      <w:r w:rsidRPr="0C9DDB97">
        <w:rPr>
          <w:lang w:val="en-US"/>
        </w:rPr>
        <w:t xml:space="preserve">are unable to issue </w:t>
      </w:r>
      <w:r w:rsidR="00442F89" w:rsidRPr="0C9DDB97">
        <w:rPr>
          <w:lang w:val="en-US"/>
        </w:rPr>
        <w:t>PWA</w:t>
      </w:r>
      <w:r w:rsidRPr="0C9DDB97">
        <w:rPr>
          <w:lang w:val="en-US"/>
        </w:rPr>
        <w:t xml:space="preserve"> </w:t>
      </w:r>
      <w:r w:rsidR="00442F89" w:rsidRPr="0C9DDB97">
        <w:rPr>
          <w:lang w:val="en-US"/>
        </w:rPr>
        <w:t xml:space="preserve">Variation </w:t>
      </w:r>
      <w:r w:rsidRPr="0C9DDB97">
        <w:rPr>
          <w:lang w:val="en-US"/>
        </w:rPr>
        <w:t>consen</w:t>
      </w:r>
      <w:r w:rsidR="00442F89" w:rsidRPr="0C9DDB97">
        <w:rPr>
          <w:lang w:val="en-US"/>
        </w:rPr>
        <w:t xml:space="preserve">t unless the associated supporting environmental </w:t>
      </w:r>
      <w:r w:rsidR="006C1389" w:rsidRPr="0C9DDB97">
        <w:rPr>
          <w:lang w:val="en-US"/>
        </w:rPr>
        <w:t>permit</w:t>
      </w:r>
      <w:r w:rsidR="00442F89" w:rsidRPr="0C9DDB97">
        <w:rPr>
          <w:lang w:val="en-US"/>
        </w:rPr>
        <w:t xml:space="preserve">(s) </w:t>
      </w:r>
      <w:proofErr w:type="gramStart"/>
      <w:r w:rsidR="00442F89" w:rsidRPr="0C9DDB97">
        <w:rPr>
          <w:lang w:val="en-US"/>
        </w:rPr>
        <w:t>have</w:t>
      </w:r>
      <w:proofErr w:type="gramEnd"/>
      <w:r w:rsidRPr="0C9DDB97">
        <w:rPr>
          <w:lang w:val="en-US"/>
        </w:rPr>
        <w:t xml:space="preserve"> also been approved.</w:t>
      </w:r>
    </w:p>
    <w:p w14:paraId="04E4B1C4" w14:textId="77777777" w:rsidR="0030395F" w:rsidRPr="00FA737C" w:rsidRDefault="007443F8">
      <w:pPr>
        <w:numPr>
          <w:ilvl w:val="0"/>
          <w:numId w:val="9"/>
        </w:numPr>
        <w:spacing w:after="200"/>
        <w:rPr>
          <w:lang w:val="en"/>
        </w:rPr>
      </w:pPr>
      <w:r w:rsidRPr="00FA737C">
        <w:rPr>
          <w:lang w:val="en"/>
        </w:rPr>
        <w:t xml:space="preserve">The applicant </w:t>
      </w:r>
      <w:proofErr w:type="gramStart"/>
      <w:r w:rsidRPr="00FA737C">
        <w:rPr>
          <w:lang w:val="en"/>
        </w:rPr>
        <w:t>has to</w:t>
      </w:r>
      <w:proofErr w:type="gramEnd"/>
      <w:r w:rsidR="0030395F" w:rsidRPr="00FA737C">
        <w:rPr>
          <w:lang w:val="en"/>
        </w:rPr>
        <w:t xml:space="preserve"> submit a Pipeline</w:t>
      </w:r>
      <w:r w:rsidR="007B7061" w:rsidRPr="00FA737C">
        <w:rPr>
          <w:lang w:val="en"/>
        </w:rPr>
        <w:t>s</w:t>
      </w:r>
      <w:r w:rsidR="0030395F" w:rsidRPr="00FA737C">
        <w:rPr>
          <w:lang w:val="en"/>
        </w:rPr>
        <w:t xml:space="preserve"> Safety Regulations </w:t>
      </w:r>
      <w:r w:rsidR="0030395F" w:rsidRPr="00FA737C">
        <w:t>(1996)</w:t>
      </w:r>
      <w:r w:rsidRPr="00FA737C">
        <w:t xml:space="preserve"> n</w:t>
      </w:r>
      <w:r w:rsidR="0030395F" w:rsidRPr="00FA737C">
        <w:t>otification</w:t>
      </w:r>
      <w:r w:rsidRPr="00FA737C">
        <w:t xml:space="preserve"> to the HSE, i.e. </w:t>
      </w:r>
      <w:r w:rsidR="0030395F" w:rsidRPr="00FA737C">
        <w:t>Regulation 22</w:t>
      </w:r>
      <w:r w:rsidRPr="00FA737C">
        <w:t xml:space="preserve"> “Notification in other cases”</w:t>
      </w:r>
      <w:r w:rsidR="0030395F" w:rsidRPr="00FA737C">
        <w:t>.</w:t>
      </w:r>
      <w:r w:rsidRPr="00FA737C">
        <w:t xml:space="preserve"> For further information see </w:t>
      </w:r>
      <w:hyperlink r:id="rId19" w:history="1">
        <w:r w:rsidR="0030395F" w:rsidRPr="00FA737C">
          <w:rPr>
            <w:rStyle w:val="Hyperlink"/>
          </w:rPr>
          <w:t>http://www.hse.gov.uk/pipelines/notification.htm</w:t>
        </w:r>
      </w:hyperlink>
    </w:p>
    <w:p w14:paraId="54844F91" w14:textId="77777777" w:rsidR="00362983" w:rsidRPr="00FA737C" w:rsidRDefault="0037432B" w:rsidP="0C9DDB97">
      <w:pPr>
        <w:numPr>
          <w:ilvl w:val="0"/>
          <w:numId w:val="9"/>
        </w:numPr>
        <w:spacing w:after="200"/>
        <w:ind w:left="357" w:hanging="357"/>
        <w:rPr>
          <w:lang w:val="en-US"/>
        </w:rPr>
      </w:pPr>
      <w:r w:rsidRPr="0C9DDB97">
        <w:rPr>
          <w:lang w:val="en-US"/>
        </w:rPr>
        <w:t>Once any</w:t>
      </w:r>
      <w:r w:rsidR="00362983" w:rsidRPr="0C9DDB97">
        <w:rPr>
          <w:lang w:val="en-US"/>
        </w:rPr>
        <w:t xml:space="preserve"> objections have been resolved or if no comments have been received, </w:t>
      </w:r>
      <w:r w:rsidRPr="0C9DDB97">
        <w:rPr>
          <w:lang w:val="en-US"/>
        </w:rPr>
        <w:t>the legal PWA Variation consent documents will be prepared and approved</w:t>
      </w:r>
      <w:r w:rsidR="00362983" w:rsidRPr="0C9DDB97">
        <w:rPr>
          <w:lang w:val="en-US"/>
        </w:rPr>
        <w:t xml:space="preserve">. The PWA </w:t>
      </w:r>
      <w:r w:rsidRPr="0C9DDB97">
        <w:rPr>
          <w:lang w:val="en-US"/>
        </w:rPr>
        <w:t xml:space="preserve">Variation </w:t>
      </w:r>
      <w:r w:rsidR="00362983" w:rsidRPr="0C9DDB97">
        <w:rPr>
          <w:lang w:val="en-US"/>
        </w:rPr>
        <w:t xml:space="preserve">contains the </w:t>
      </w:r>
      <w:r w:rsidR="0045734B" w:rsidRPr="0C9DDB97">
        <w:rPr>
          <w:lang w:val="en-US"/>
        </w:rPr>
        <w:t xml:space="preserve">legal </w:t>
      </w:r>
      <w:r w:rsidR="00362983" w:rsidRPr="0C9DDB97">
        <w:rPr>
          <w:lang w:val="en-US"/>
        </w:rPr>
        <w:t xml:space="preserve">terms </w:t>
      </w:r>
      <w:r w:rsidR="0045734B" w:rsidRPr="0C9DDB97">
        <w:rPr>
          <w:lang w:val="en-US"/>
        </w:rPr>
        <w:t xml:space="preserve">and conditions </w:t>
      </w:r>
      <w:r w:rsidR="00362983" w:rsidRPr="0C9DDB97">
        <w:rPr>
          <w:lang w:val="en-US"/>
        </w:rPr>
        <w:t xml:space="preserve">under which the </w:t>
      </w:r>
      <w:r w:rsidRPr="0C9DDB97">
        <w:rPr>
          <w:lang w:val="en-US"/>
        </w:rPr>
        <w:t>proposed pipeline works have been approved and</w:t>
      </w:r>
      <w:r w:rsidR="00362983" w:rsidRPr="0C9DDB97">
        <w:rPr>
          <w:lang w:val="en-US"/>
        </w:rPr>
        <w:t xml:space="preserve"> must be adhered to.</w:t>
      </w:r>
    </w:p>
    <w:p w14:paraId="72ED63AF" w14:textId="47E34099" w:rsidR="00362983" w:rsidRPr="00FA737C" w:rsidRDefault="00362983" w:rsidP="00362983">
      <w:pPr>
        <w:numPr>
          <w:ilvl w:val="0"/>
          <w:numId w:val="9"/>
        </w:numPr>
        <w:ind w:left="357" w:hanging="357"/>
        <w:rPr>
          <w:lang w:val="en"/>
        </w:rPr>
      </w:pPr>
    </w:p>
    <w:p w14:paraId="18163400" w14:textId="77777777" w:rsidR="004154A0" w:rsidRPr="00FA737C" w:rsidRDefault="004154A0" w:rsidP="004154A0">
      <w:pPr>
        <w:ind w:left="357"/>
        <w:rPr>
          <w:lang w:val="en"/>
        </w:rPr>
      </w:pPr>
    </w:p>
    <w:p w14:paraId="0BA6553E" w14:textId="77777777" w:rsidR="004A70D8" w:rsidRDefault="00362983" w:rsidP="004A70D8">
      <w:pPr>
        <w:spacing w:after="200"/>
        <w:ind w:left="357"/>
        <w:rPr>
          <w:u w:val="single"/>
          <w:lang w:val="en"/>
        </w:rPr>
      </w:pPr>
      <w:r w:rsidRPr="00FA737C">
        <w:rPr>
          <w:noProof/>
          <w:lang w:eastAsia="en-GB"/>
        </w:rPr>
        <w:drawing>
          <wp:inline distT="0" distB="0" distL="0" distR="0" wp14:anchorId="73DB0BB4" wp14:editId="471AA7F6">
            <wp:extent cx="5219700" cy="3724275"/>
            <wp:effectExtent l="0" t="0" r="0" b="0"/>
            <wp:docPr id="1" name="Diagram 1" descr="Diagram showing PWA Variation approval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bookmarkStart w:id="4" w:name="_Toc464634970"/>
    </w:p>
    <w:p w14:paraId="12DB7764" w14:textId="77777777" w:rsidR="004A70D8" w:rsidRDefault="004A70D8" w:rsidP="004A70D8">
      <w:pPr>
        <w:spacing w:after="200"/>
        <w:ind w:left="357"/>
        <w:rPr>
          <w:u w:val="single"/>
          <w:lang w:val="en"/>
        </w:rPr>
      </w:pPr>
    </w:p>
    <w:p w14:paraId="3E12442F" w14:textId="77777777" w:rsidR="004A70D8" w:rsidRDefault="004A70D8" w:rsidP="004A70D8">
      <w:pPr>
        <w:spacing w:after="200"/>
        <w:ind w:left="357"/>
        <w:rPr>
          <w:u w:val="single"/>
          <w:lang w:val="en"/>
        </w:rPr>
      </w:pPr>
    </w:p>
    <w:p w14:paraId="6E964D28" w14:textId="5DCEA5B9" w:rsidR="001C65B6" w:rsidRPr="008B0682" w:rsidRDefault="001C65B6" w:rsidP="008B0682">
      <w:pPr>
        <w:pStyle w:val="Heading1"/>
        <w:spacing w:before="0" w:after="200"/>
        <w:rPr>
          <w:rFonts w:ascii="Arial" w:hAnsi="Arial" w:cs="Arial"/>
          <w:b w:val="0"/>
          <w:color w:val="auto"/>
          <w:u w:val="single"/>
        </w:rPr>
      </w:pPr>
      <w:r w:rsidRPr="008B0682">
        <w:rPr>
          <w:rFonts w:ascii="Arial" w:hAnsi="Arial" w:cs="Arial"/>
          <w:b w:val="0"/>
          <w:color w:val="auto"/>
          <w:u w:val="single"/>
        </w:rPr>
        <w:t>Offshore Pipeline Definition</w:t>
      </w:r>
      <w:bookmarkEnd w:id="4"/>
    </w:p>
    <w:p w14:paraId="171AF3FD" w14:textId="77777777" w:rsidR="001C65B6" w:rsidRPr="00FA737C" w:rsidRDefault="001C65B6" w:rsidP="004A70D8">
      <w:pPr>
        <w:spacing w:after="0"/>
        <w:rPr>
          <w:lang w:val="en"/>
        </w:rPr>
      </w:pPr>
    </w:p>
    <w:p w14:paraId="000EFF84" w14:textId="743216B4" w:rsidR="001C65B6" w:rsidRPr="00FA737C" w:rsidRDefault="001C65B6" w:rsidP="0C9DDB97">
      <w:pPr>
        <w:spacing w:after="0"/>
        <w:rPr>
          <w:lang w:val="en-US"/>
        </w:rPr>
      </w:pPr>
      <w:r w:rsidRPr="0C9DDB97">
        <w:rPr>
          <w:lang w:val="en-US"/>
        </w:rPr>
        <w:t xml:space="preserve">Under Part 3 of the Petroleum Act 1998 an authorisation is required for the construction and/or use of a “pipeline” in “controlled waters”. For these purposes, controlled waters </w:t>
      </w:r>
      <w:r w:rsidR="0007749E" w:rsidRPr="0C9DDB97">
        <w:rPr>
          <w:lang w:val="en-US"/>
        </w:rPr>
        <w:t>mean</w:t>
      </w:r>
      <w:r w:rsidRPr="0C9DDB97">
        <w:rPr>
          <w:lang w:val="en-US"/>
        </w:rPr>
        <w:t xml:space="preserve"> the territorial sea adjacent to the UK and the sea in any area designated under section 1(7) of the Continental Shelf Act 1964.</w:t>
      </w:r>
    </w:p>
    <w:p w14:paraId="5A6D0CD2" w14:textId="77777777" w:rsidR="001C65B6" w:rsidRPr="00FA737C" w:rsidRDefault="001C65B6" w:rsidP="001C65B6">
      <w:pPr>
        <w:spacing w:after="0"/>
        <w:rPr>
          <w:lang w:val="en"/>
        </w:rPr>
      </w:pPr>
    </w:p>
    <w:p w14:paraId="2491B207" w14:textId="77777777" w:rsidR="001C65B6" w:rsidRPr="00FA737C" w:rsidRDefault="001C65B6" w:rsidP="0C9DDB97">
      <w:pPr>
        <w:spacing w:after="200"/>
        <w:rPr>
          <w:lang w:val="en-US"/>
        </w:rPr>
      </w:pPr>
      <w:r w:rsidRPr="0C9DDB97">
        <w:rPr>
          <w:lang w:val="en-US"/>
        </w:rPr>
        <w:t xml:space="preserve">The Energy Act 2008 defines pipelines as a </w:t>
      </w:r>
      <w:r w:rsidRPr="0C9DDB97">
        <w:rPr>
          <w:i/>
          <w:iCs/>
          <w:lang w:val="en-US"/>
        </w:rPr>
        <w:t xml:space="preserve">“pipe or system of pipes (excluding a drain or sewer) for the conveyance of anything, together with all apparatus, works and </w:t>
      </w:r>
      <w:r w:rsidRPr="0C9DDB97">
        <w:rPr>
          <w:i/>
          <w:iCs/>
          <w:lang w:val="en-US"/>
        </w:rPr>
        <w:lastRenderedPageBreak/>
        <w:t>services associated with the operation of such a pipe or system”</w:t>
      </w:r>
      <w:r w:rsidRPr="0C9DDB97">
        <w:rPr>
          <w:lang w:val="en-US"/>
        </w:rPr>
        <w:t xml:space="preserve">. This includes pipelines used for the conveyance of hydrocarbons, water, chemicals, apparatus for the supply of energy for operations, hydraulic control lines or </w:t>
      </w:r>
      <w:proofErr w:type="gramStart"/>
      <w:r w:rsidR="00E903A2" w:rsidRPr="0C9DDB97">
        <w:rPr>
          <w:lang w:val="en-US"/>
        </w:rPr>
        <w:t>umbilical’s</w:t>
      </w:r>
      <w:proofErr w:type="gramEnd"/>
      <w:r w:rsidRPr="0C9DDB97">
        <w:rPr>
          <w:lang w:val="en-US"/>
        </w:rPr>
        <w:t>, as well as services (for example the provision of fuel or power).</w:t>
      </w:r>
    </w:p>
    <w:p w14:paraId="04678093" w14:textId="77777777" w:rsidR="00ED6BC1" w:rsidRPr="00FA737C" w:rsidRDefault="00DD30C7" w:rsidP="00321693">
      <w:pPr>
        <w:pStyle w:val="Heading1"/>
        <w:spacing w:before="0" w:after="200"/>
        <w:rPr>
          <w:rFonts w:ascii="Arial" w:hAnsi="Arial" w:cs="Arial"/>
          <w:b w:val="0"/>
          <w:color w:val="auto"/>
          <w:u w:val="single"/>
        </w:rPr>
      </w:pPr>
      <w:bookmarkStart w:id="5" w:name="_Toc464634971"/>
      <w:r w:rsidRPr="00FA737C">
        <w:rPr>
          <w:rFonts w:ascii="Arial" w:hAnsi="Arial" w:cs="Arial"/>
          <w:b w:val="0"/>
          <w:color w:val="auto"/>
          <w:u w:val="single"/>
        </w:rPr>
        <w:t>Table A</w:t>
      </w:r>
      <w:bookmarkEnd w:id="5"/>
    </w:p>
    <w:p w14:paraId="11BC4C90" w14:textId="77777777" w:rsidR="00BB65CD" w:rsidRPr="00FA737C" w:rsidRDefault="00910C2C" w:rsidP="00E52FB8">
      <w:pPr>
        <w:contextualSpacing/>
      </w:pPr>
      <w:r w:rsidRPr="00FA737C">
        <w:t>A</w:t>
      </w:r>
      <w:r w:rsidR="00676C6A" w:rsidRPr="00FA737C">
        <w:t xml:space="preserve"> </w:t>
      </w:r>
      <w:r w:rsidRPr="00FA737C">
        <w:t xml:space="preserve">completed </w:t>
      </w:r>
      <w:r w:rsidR="00676C6A" w:rsidRPr="00FA737C">
        <w:t xml:space="preserve">Table A </w:t>
      </w:r>
      <w:r w:rsidR="00332B5C" w:rsidRPr="00FA737C">
        <w:t xml:space="preserve">must be provided for each </w:t>
      </w:r>
      <w:r w:rsidRPr="00FA737C">
        <w:t xml:space="preserve">pipeline/umbilical and to show variation to existing line(s) as </w:t>
      </w:r>
      <w:r w:rsidR="00676C6A" w:rsidRPr="00FA737C">
        <w:t xml:space="preserve">left on the </w:t>
      </w:r>
      <w:proofErr w:type="gramStart"/>
      <w:r w:rsidR="00676C6A" w:rsidRPr="00FA737C">
        <w:t>sea bed</w:t>
      </w:r>
      <w:proofErr w:type="gramEnd"/>
      <w:r w:rsidR="00BB65CD" w:rsidRPr="00FA737C">
        <w:t xml:space="preserve"> </w:t>
      </w:r>
      <w:r w:rsidR="00676C6A" w:rsidRPr="00FA737C">
        <w:t>once the cutting a</w:t>
      </w:r>
      <w:r w:rsidRPr="00FA737C">
        <w:t>nd disconnection works have concluded</w:t>
      </w:r>
      <w:r w:rsidR="00676C6A" w:rsidRPr="00FA737C">
        <w:t>.</w:t>
      </w:r>
    </w:p>
    <w:p w14:paraId="7FD1FCE3" w14:textId="77777777" w:rsidR="00BB65CD" w:rsidRPr="00FA737C" w:rsidRDefault="00BB65CD" w:rsidP="00E52FB8">
      <w:pPr>
        <w:pStyle w:val="ListParagraph"/>
        <w:ind w:left="360"/>
      </w:pPr>
    </w:p>
    <w:p w14:paraId="1720B216" w14:textId="77777777" w:rsidR="00191D6B" w:rsidRPr="00FA737C" w:rsidRDefault="00191D6B" w:rsidP="00E52FB8">
      <w:pPr>
        <w:pStyle w:val="ListParagraph"/>
        <w:ind w:left="360"/>
      </w:pPr>
    </w:p>
    <w:p w14:paraId="5C5CBF1F" w14:textId="5884C92E" w:rsidR="00E57892" w:rsidRPr="00FA737C" w:rsidRDefault="00191D6B" w:rsidP="00E52FB8">
      <w:pPr>
        <w:pStyle w:val="ListParagraph"/>
        <w:numPr>
          <w:ilvl w:val="0"/>
          <w:numId w:val="3"/>
        </w:numPr>
        <w:ind w:left="360"/>
        <w:rPr>
          <w:b/>
          <w:i/>
        </w:rPr>
      </w:pPr>
      <w:r w:rsidRPr="00FA737C">
        <w:rPr>
          <w:b/>
        </w:rPr>
        <w:t xml:space="preserve">From &amp; </w:t>
      </w:r>
      <w:proofErr w:type="gramStart"/>
      <w:r w:rsidRPr="00FA737C">
        <w:rPr>
          <w:b/>
        </w:rPr>
        <w:t xml:space="preserve">To </w:t>
      </w:r>
      <w:r w:rsidRPr="00FA737C">
        <w:t xml:space="preserve"> –</w:t>
      </w:r>
      <w:proofErr w:type="gramEnd"/>
      <w:r w:rsidRPr="00FA737C">
        <w:t xml:space="preserve">  </w:t>
      </w:r>
      <w:r w:rsidR="00F5230A">
        <w:t xml:space="preserve">Please provide the </w:t>
      </w:r>
      <w:r w:rsidRPr="00FA737C">
        <w:t xml:space="preserve">‘from’ and ‘to’ end points of the pipeline including associated co-ordinates in WGS84 format </w:t>
      </w:r>
      <w:r w:rsidRPr="00FA737C">
        <w:rPr>
          <w:i/>
        </w:rPr>
        <w:t>01</w:t>
      </w:r>
      <w:r w:rsidRPr="00FA737C">
        <w:rPr>
          <w:i/>
          <w:vertAlign w:val="superscript"/>
        </w:rPr>
        <w:t>0</w:t>
      </w:r>
      <w:r w:rsidRPr="00FA737C">
        <w:rPr>
          <w:i/>
        </w:rPr>
        <w:t>13’ 41.37” E</w:t>
      </w:r>
      <w:r w:rsidRPr="00FA737C">
        <w:t xml:space="preserve">. The ‘from and ‘to’ points for each ident will reflect what is at the very end of the component part in column 5. </w:t>
      </w:r>
    </w:p>
    <w:p w14:paraId="6D1CECE3" w14:textId="77777777" w:rsidR="00191D6B" w:rsidRPr="00FA737C" w:rsidRDefault="00191D6B" w:rsidP="00E52FB8">
      <w:pPr>
        <w:pStyle w:val="ListParagraph"/>
        <w:numPr>
          <w:ilvl w:val="1"/>
          <w:numId w:val="3"/>
        </w:numPr>
        <w:rPr>
          <w:b/>
        </w:rPr>
      </w:pPr>
      <w:r w:rsidRPr="00FA737C">
        <w:t>Please ensure the direction the product is transported is correctly displayed in the Table ‘A’, for example a Services Umbilical should start at the FPSO/Platform or Manifold and go to the Well as the service will be coming from the FPSO/Platform</w:t>
      </w:r>
      <w:r w:rsidR="00E57892" w:rsidRPr="00FA737C">
        <w:t>.</w:t>
      </w:r>
    </w:p>
    <w:p w14:paraId="09B8BE7F" w14:textId="5F70A6A9" w:rsidR="008F2CF9" w:rsidRPr="00FA737C" w:rsidRDefault="008F2CF9" w:rsidP="008F2CF9">
      <w:pPr>
        <w:pStyle w:val="ListParagraph"/>
        <w:numPr>
          <w:ilvl w:val="1"/>
          <w:numId w:val="3"/>
        </w:numPr>
        <w:rPr>
          <w:b/>
          <w:i/>
        </w:rPr>
      </w:pPr>
      <w:r w:rsidRPr="00FA737C">
        <w:rPr>
          <w:b/>
        </w:rPr>
        <w:t xml:space="preserve">There should be a flow throughout the </w:t>
      </w:r>
      <w:proofErr w:type="gramStart"/>
      <w:r w:rsidRPr="00FA737C">
        <w:rPr>
          <w:b/>
        </w:rPr>
        <w:t>table</w:t>
      </w:r>
      <w:r w:rsidR="003141BF">
        <w:rPr>
          <w:b/>
        </w:rPr>
        <w:t>.</w:t>
      </w:r>
      <w:r w:rsidRPr="00FA737C">
        <w:rPr>
          <w:b/>
        </w:rPr>
        <w:t>.</w:t>
      </w:r>
      <w:proofErr w:type="gramEnd"/>
      <w:r w:rsidRPr="00FA737C">
        <w:rPr>
          <w:b/>
        </w:rPr>
        <w:t xml:space="preserve"> For example, the ‘To’ point of ident 1, should also be the ‘from’ point of ident 2</w:t>
      </w:r>
      <w:proofErr w:type="gramStart"/>
      <w:r w:rsidRPr="00FA737C">
        <w:rPr>
          <w:b/>
        </w:rPr>
        <w:t>. .</w:t>
      </w:r>
      <w:proofErr w:type="gramEnd"/>
      <w:r w:rsidRPr="00FA737C">
        <w:t xml:space="preserve"> </w:t>
      </w:r>
    </w:p>
    <w:p w14:paraId="0F70D5B2" w14:textId="77777777" w:rsidR="008F2CF9" w:rsidRPr="00FA737C" w:rsidRDefault="00BB38EC" w:rsidP="00E52FB8">
      <w:pPr>
        <w:pStyle w:val="ListParagraph"/>
        <w:numPr>
          <w:ilvl w:val="1"/>
          <w:numId w:val="3"/>
        </w:numPr>
        <w:rPr>
          <w:b/>
          <w:i/>
        </w:rPr>
      </w:pPr>
      <w:r w:rsidRPr="00FA737C">
        <w:t>Cut point locations will affect the flow of the Table A</w:t>
      </w:r>
      <w:r w:rsidR="00E542C9" w:rsidRPr="00FA737C">
        <w:t xml:space="preserve"> and </w:t>
      </w:r>
      <w:r w:rsidRPr="00FA737C">
        <w:t xml:space="preserve">in this instance the OGA would accept this </w:t>
      </w:r>
      <w:r w:rsidR="00E805BB" w:rsidRPr="00FA737C">
        <w:t>instruction</w:t>
      </w:r>
      <w:r w:rsidRPr="00FA737C">
        <w:t xml:space="preserve"> cannot be completely</w:t>
      </w:r>
      <w:r w:rsidR="00E542C9" w:rsidRPr="00FA737C">
        <w:t xml:space="preserve"> followed.</w:t>
      </w:r>
    </w:p>
    <w:p w14:paraId="76C2D30B" w14:textId="77777777" w:rsidR="00D731ED" w:rsidRPr="00FA737C" w:rsidRDefault="00D731ED">
      <w:pPr>
        <w:pStyle w:val="ListParagraph"/>
        <w:numPr>
          <w:ilvl w:val="1"/>
          <w:numId w:val="3"/>
        </w:numPr>
        <w:rPr>
          <w:b/>
          <w:i/>
        </w:rPr>
      </w:pPr>
      <w:r w:rsidRPr="00FA737C">
        <w:t>If the pipeline is being cut then there should be a description along with cut point location co-ordinates in WGS84 format</w:t>
      </w:r>
      <w:r w:rsidR="00A37CA9" w:rsidRPr="00FA737C">
        <w:t xml:space="preserve">, example “Cut Point A </w:t>
      </w:r>
      <w:r w:rsidR="00A37CA9" w:rsidRPr="00FA737C">
        <w:rPr>
          <w:i/>
        </w:rPr>
        <w:t>53</w:t>
      </w:r>
      <w:r w:rsidR="00A37CA9" w:rsidRPr="00FA737C">
        <w:rPr>
          <w:i/>
          <w:vertAlign w:val="superscript"/>
        </w:rPr>
        <w:t xml:space="preserve">0 </w:t>
      </w:r>
      <w:r w:rsidR="00A37CA9" w:rsidRPr="00FA737C">
        <w:rPr>
          <w:i/>
        </w:rPr>
        <w:t>34’ 09.11” N 02</w:t>
      </w:r>
      <w:r w:rsidR="00A37CA9" w:rsidRPr="00FA737C">
        <w:rPr>
          <w:i/>
          <w:vertAlign w:val="superscript"/>
        </w:rPr>
        <w:t xml:space="preserve">0 </w:t>
      </w:r>
      <w:r w:rsidR="00A37CA9" w:rsidRPr="00FA737C">
        <w:rPr>
          <w:i/>
        </w:rPr>
        <w:t>13’ 21.37 E”.</w:t>
      </w:r>
    </w:p>
    <w:p w14:paraId="2B2754D8" w14:textId="77777777" w:rsidR="00191D6B" w:rsidRPr="00FA737C" w:rsidRDefault="00191D6B" w:rsidP="00E52FB8">
      <w:pPr>
        <w:pStyle w:val="ListParagraph"/>
        <w:ind w:left="360"/>
      </w:pPr>
    </w:p>
    <w:p w14:paraId="1EEEA216" w14:textId="1862EA4C" w:rsidR="00191D6B" w:rsidRPr="00FA737C" w:rsidRDefault="00191D6B" w:rsidP="00E52FB8">
      <w:pPr>
        <w:pStyle w:val="ListParagraph"/>
        <w:numPr>
          <w:ilvl w:val="0"/>
          <w:numId w:val="3"/>
        </w:numPr>
        <w:ind w:left="360"/>
        <w:rPr>
          <w:b/>
        </w:rPr>
      </w:pPr>
      <w:r w:rsidRPr="00FA737C">
        <w:rPr>
          <w:b/>
        </w:rPr>
        <w:t xml:space="preserve">Component </w:t>
      </w:r>
      <w:proofErr w:type="gramStart"/>
      <w:r w:rsidRPr="00FA737C">
        <w:rPr>
          <w:b/>
        </w:rPr>
        <w:t xml:space="preserve">Description </w:t>
      </w:r>
      <w:r w:rsidRPr="00FA737C">
        <w:t xml:space="preserve"> –</w:t>
      </w:r>
      <w:proofErr w:type="gramEnd"/>
      <w:r w:rsidRPr="00FA737C">
        <w:t xml:space="preserve"> This is a description of the main component of a pipeline, for example </w:t>
      </w:r>
      <w:r w:rsidRPr="00FA737C">
        <w:rPr>
          <w:i/>
        </w:rPr>
        <w:t>12” Rigid Tie In spool</w:t>
      </w:r>
      <w:r w:rsidRPr="00FA737C">
        <w:t xml:space="preserve">. </w:t>
      </w:r>
      <w:r w:rsidRPr="00FA737C">
        <w:rPr>
          <w:b/>
        </w:rPr>
        <w:t xml:space="preserve">It should be used to describe the component part of the pipeline between the points referenced </w:t>
      </w:r>
      <w:r w:rsidR="002427F5">
        <w:rPr>
          <w:b/>
        </w:rPr>
        <w:t xml:space="preserve">in the From and </w:t>
      </w:r>
      <w:proofErr w:type="gramStart"/>
      <w:r w:rsidR="002427F5">
        <w:rPr>
          <w:b/>
        </w:rPr>
        <w:t>To</w:t>
      </w:r>
      <w:proofErr w:type="gramEnd"/>
      <w:r w:rsidR="002427F5">
        <w:rPr>
          <w:b/>
        </w:rPr>
        <w:t xml:space="preserve"> points</w:t>
      </w:r>
      <w:proofErr w:type="gramStart"/>
      <w:r w:rsidR="002427F5">
        <w:rPr>
          <w:b/>
        </w:rPr>
        <w:t xml:space="preserve">. </w:t>
      </w:r>
      <w:r w:rsidRPr="00FA737C">
        <w:rPr>
          <w:b/>
        </w:rPr>
        <w:t>.</w:t>
      </w:r>
      <w:proofErr w:type="gramEnd"/>
      <w:r w:rsidR="00E6611E" w:rsidRPr="00FA737C">
        <w:rPr>
          <w:b/>
        </w:rPr>
        <w:t xml:space="preserve"> </w:t>
      </w:r>
      <w:r w:rsidR="00E6611E" w:rsidRPr="00FA737C">
        <w:t>This can also include description of other components such as blind flanges and valves.</w:t>
      </w:r>
    </w:p>
    <w:p w14:paraId="43CCE1A3" w14:textId="77777777" w:rsidR="00191D6B" w:rsidRPr="00FA737C" w:rsidRDefault="00191D6B" w:rsidP="00E52FB8">
      <w:pPr>
        <w:pStyle w:val="ListParagraph"/>
        <w:ind w:left="360"/>
      </w:pPr>
    </w:p>
    <w:p w14:paraId="25F8F42C" w14:textId="4CD897F0" w:rsidR="00191D6B" w:rsidRPr="00FA737C" w:rsidRDefault="00191D6B" w:rsidP="00E52FB8">
      <w:pPr>
        <w:pStyle w:val="ListParagraph"/>
        <w:numPr>
          <w:ilvl w:val="0"/>
          <w:numId w:val="3"/>
        </w:numPr>
        <w:ind w:left="360"/>
      </w:pPr>
      <w:proofErr w:type="gramStart"/>
      <w:r w:rsidRPr="00FA737C">
        <w:rPr>
          <w:b/>
        </w:rPr>
        <w:t xml:space="preserve">Length </w:t>
      </w:r>
      <w:r w:rsidRPr="00FA737C">
        <w:t xml:space="preserve"> –</w:t>
      </w:r>
      <w:proofErr w:type="gramEnd"/>
      <w:r w:rsidRPr="00FA737C">
        <w:t xml:space="preserve"> This should be shown in metres and is required for each ident. </w:t>
      </w:r>
    </w:p>
    <w:p w14:paraId="5ABBFA2C" w14:textId="77777777" w:rsidR="00191D6B" w:rsidRPr="00FA737C" w:rsidRDefault="00191D6B" w:rsidP="00E52FB8">
      <w:pPr>
        <w:pStyle w:val="ListParagraph"/>
        <w:ind w:left="360"/>
      </w:pPr>
    </w:p>
    <w:p w14:paraId="7879610B" w14:textId="2C49B325" w:rsidR="00191D6B" w:rsidRPr="00FA737C" w:rsidRDefault="00191D6B" w:rsidP="00E52FB8">
      <w:pPr>
        <w:pStyle w:val="ListParagraph"/>
        <w:numPr>
          <w:ilvl w:val="0"/>
          <w:numId w:val="3"/>
        </w:numPr>
        <w:ind w:left="360"/>
      </w:pPr>
      <w:r w:rsidRPr="00FA737C">
        <w:rPr>
          <w:b/>
        </w:rPr>
        <w:t xml:space="preserve">Pipeline </w:t>
      </w:r>
      <w:proofErr w:type="gramStart"/>
      <w:r w:rsidRPr="00FA737C">
        <w:rPr>
          <w:b/>
        </w:rPr>
        <w:t xml:space="preserve">Dimensions </w:t>
      </w:r>
      <w:r w:rsidRPr="00FA737C">
        <w:t xml:space="preserve"> –</w:t>
      </w:r>
      <w:proofErr w:type="gramEnd"/>
      <w:r w:rsidRPr="00FA737C">
        <w:t xml:space="preserve"> The pipeline dimensions for external, internal diameter and wall thickness must be included and are shown in millimetres.</w:t>
      </w:r>
    </w:p>
    <w:p w14:paraId="638CD4E3" w14:textId="77777777" w:rsidR="00191D6B" w:rsidRPr="00FA737C" w:rsidRDefault="00191D6B" w:rsidP="00E52FB8">
      <w:pPr>
        <w:pStyle w:val="ListParagraph"/>
        <w:ind w:left="360"/>
      </w:pPr>
    </w:p>
    <w:p w14:paraId="2CCFE5E7" w14:textId="680814FB" w:rsidR="00191D6B" w:rsidRPr="00FA737C" w:rsidRDefault="00191D6B" w:rsidP="00E52FB8">
      <w:pPr>
        <w:pStyle w:val="ListParagraph"/>
        <w:numPr>
          <w:ilvl w:val="0"/>
          <w:numId w:val="3"/>
        </w:numPr>
        <w:ind w:left="360"/>
      </w:pPr>
      <w:r w:rsidRPr="00FA737C">
        <w:rPr>
          <w:b/>
        </w:rPr>
        <w:t>Insulation/</w:t>
      </w:r>
      <w:proofErr w:type="gramStart"/>
      <w:r w:rsidRPr="00FA737C">
        <w:rPr>
          <w:b/>
        </w:rPr>
        <w:t xml:space="preserve">Coating </w:t>
      </w:r>
      <w:r w:rsidRPr="00FA737C">
        <w:t xml:space="preserve"> –</w:t>
      </w:r>
      <w:proofErr w:type="gramEnd"/>
      <w:r w:rsidRPr="00FA737C">
        <w:t xml:space="preserve"> A description should be included detailing the type o</w:t>
      </w:r>
      <w:r w:rsidR="00A84344">
        <w:t>f</w:t>
      </w:r>
      <w:r w:rsidRPr="00FA737C">
        <w:t xml:space="preserve"> insulation and/or coating.</w:t>
      </w:r>
    </w:p>
    <w:p w14:paraId="3EB395CD" w14:textId="77777777" w:rsidR="00191D6B" w:rsidRPr="00FA737C" w:rsidRDefault="00191D6B" w:rsidP="00E52FB8">
      <w:pPr>
        <w:pStyle w:val="ListParagraph"/>
        <w:ind w:left="360"/>
      </w:pPr>
    </w:p>
    <w:p w14:paraId="0A86ACDF" w14:textId="1919D301" w:rsidR="00191D6B" w:rsidRPr="00FA737C" w:rsidRDefault="00191D6B" w:rsidP="00E52FB8">
      <w:pPr>
        <w:pStyle w:val="ListParagraph"/>
        <w:numPr>
          <w:ilvl w:val="0"/>
          <w:numId w:val="3"/>
        </w:numPr>
        <w:ind w:left="360"/>
      </w:pPr>
      <w:proofErr w:type="gramStart"/>
      <w:r w:rsidRPr="00FA737C">
        <w:rPr>
          <w:b/>
        </w:rPr>
        <w:t xml:space="preserve">MAOP </w:t>
      </w:r>
      <w:r w:rsidRPr="00FA737C">
        <w:t xml:space="preserve"> –</w:t>
      </w:r>
      <w:proofErr w:type="gramEnd"/>
      <w:r w:rsidRPr="00FA737C">
        <w:t xml:space="preserve"> This is the ‘Maximum Allowable Operating Pressure</w:t>
      </w:r>
      <w:proofErr w:type="gramStart"/>
      <w:r w:rsidRPr="00FA737C">
        <w:t>’</w:t>
      </w:r>
      <w:proofErr w:type="gramEnd"/>
      <w:r w:rsidRPr="00FA737C">
        <w:t xml:space="preserve"> and it </w:t>
      </w:r>
      <w:r w:rsidRPr="00FA737C">
        <w:rPr>
          <w:lang w:val="en"/>
        </w:rPr>
        <w:t>refers to the wall strength of a pressurized cylinder such as a pipeline and how much pressure the walls may safely hold during normal operation</w:t>
      </w:r>
      <w:r w:rsidR="003C502E" w:rsidRPr="00FA737C">
        <w:rPr>
          <w:lang w:val="en"/>
        </w:rPr>
        <w:t xml:space="preserve">. There is no requirement to display a figure within this column of </w:t>
      </w:r>
      <w:proofErr w:type="gramStart"/>
      <w:r w:rsidR="003C502E" w:rsidRPr="00FA737C">
        <w:rPr>
          <w:lang w:val="en"/>
        </w:rPr>
        <w:t>the Table</w:t>
      </w:r>
      <w:proofErr w:type="gramEnd"/>
      <w:r w:rsidR="003C502E" w:rsidRPr="00FA737C">
        <w:rPr>
          <w:lang w:val="en"/>
        </w:rPr>
        <w:t xml:space="preserve"> A in association with decommi</w:t>
      </w:r>
      <w:r w:rsidR="00923BD1" w:rsidRPr="00FA737C">
        <w:rPr>
          <w:lang w:val="en"/>
        </w:rPr>
        <w:t>ssioned pipelines. T</w:t>
      </w:r>
      <w:r w:rsidR="00D75C9C" w:rsidRPr="00FA737C">
        <w:rPr>
          <w:lang w:val="en"/>
        </w:rPr>
        <w:t xml:space="preserve">he </w:t>
      </w:r>
      <w:r w:rsidR="00B918F6">
        <w:rPr>
          <w:lang w:val="en"/>
        </w:rPr>
        <w:t>NST</w:t>
      </w:r>
      <w:r w:rsidR="00D75C9C" w:rsidRPr="00FA737C">
        <w:rPr>
          <w:lang w:val="en"/>
        </w:rPr>
        <w:t>A will</w:t>
      </w:r>
      <w:r w:rsidR="003C502E" w:rsidRPr="00FA737C">
        <w:rPr>
          <w:lang w:val="en"/>
        </w:rPr>
        <w:t xml:space="preserve"> </w:t>
      </w:r>
      <w:r w:rsidR="00D75C9C" w:rsidRPr="00FA737C">
        <w:rPr>
          <w:lang w:val="en"/>
        </w:rPr>
        <w:t>agree to</w:t>
      </w:r>
      <w:r w:rsidR="003C502E" w:rsidRPr="00FA737C">
        <w:rPr>
          <w:lang w:val="en"/>
        </w:rPr>
        <w:t xml:space="preserve"> </w:t>
      </w:r>
      <w:r w:rsidR="00D75C9C" w:rsidRPr="00FA737C">
        <w:rPr>
          <w:lang w:val="en"/>
        </w:rPr>
        <w:t>“N/A” in these circumstances only.</w:t>
      </w:r>
    </w:p>
    <w:p w14:paraId="6BA2A0DB" w14:textId="77777777" w:rsidR="00191D6B" w:rsidRPr="00FA737C" w:rsidRDefault="00191D6B" w:rsidP="00E52FB8">
      <w:pPr>
        <w:pStyle w:val="ListParagraph"/>
        <w:ind w:left="360"/>
        <w:rPr>
          <w:b/>
        </w:rPr>
      </w:pPr>
    </w:p>
    <w:p w14:paraId="5901D417" w14:textId="7B20D399" w:rsidR="00191D6B" w:rsidRPr="00FA737C" w:rsidRDefault="00191D6B" w:rsidP="00E52FB8">
      <w:pPr>
        <w:pStyle w:val="ListParagraph"/>
        <w:numPr>
          <w:ilvl w:val="0"/>
          <w:numId w:val="3"/>
        </w:numPr>
        <w:ind w:left="360"/>
      </w:pPr>
      <w:r w:rsidRPr="00FA737C">
        <w:rPr>
          <w:b/>
        </w:rPr>
        <w:lastRenderedPageBreak/>
        <w:t xml:space="preserve">Products </w:t>
      </w:r>
      <w:proofErr w:type="gramStart"/>
      <w:r w:rsidRPr="00FA737C">
        <w:rPr>
          <w:b/>
        </w:rPr>
        <w:t xml:space="preserve">Conveyed </w:t>
      </w:r>
      <w:r w:rsidRPr="00FA737C">
        <w:t xml:space="preserve"> –</w:t>
      </w:r>
      <w:proofErr w:type="gramEnd"/>
      <w:r w:rsidRPr="00FA737C">
        <w:t xml:space="preserve"> There should always be a product conveyed </w:t>
      </w:r>
      <w:r w:rsidR="00E545DD" w:rsidRPr="00FA737C">
        <w:t xml:space="preserve">(what is in the pipeline) </w:t>
      </w:r>
      <w:r w:rsidRPr="00FA737C">
        <w:t xml:space="preserve">in </w:t>
      </w:r>
      <w:r w:rsidR="009F3417">
        <w:t>the ‘Products to be conveyed</w:t>
      </w:r>
      <w:r w:rsidR="0037252E">
        <w:t>’ section within the</w:t>
      </w:r>
      <w:r w:rsidRPr="00FA737C">
        <w:t xml:space="preserve"> Table ‘A’ and </w:t>
      </w:r>
      <w:r w:rsidRPr="00FA737C">
        <w:rPr>
          <w:b/>
        </w:rPr>
        <w:t>‘N/A’ or ‘None’ will not be accepted</w:t>
      </w:r>
      <w:r w:rsidRPr="00FA737C">
        <w:t xml:space="preserve">. If a pipeline is to be flushed in preparation for </w:t>
      </w:r>
      <w:r w:rsidR="0037252E" w:rsidRPr="00FA737C">
        <w:t>decommissioning,</w:t>
      </w:r>
      <w:r w:rsidRPr="00FA737C">
        <w:t xml:space="preserve"> then this should be referenced as ‘out of service filled with seawater’ as an example. The order of flow is expected to correspond with the direction of flow while the pipeline was in use. </w:t>
      </w:r>
      <w:r w:rsidRPr="00FA737C">
        <w:rPr>
          <w:b/>
        </w:rPr>
        <w:t>When displaying products for an umbilical pipeline these should be grouped together i.e. 4 x HP Hydraulic.</w:t>
      </w:r>
    </w:p>
    <w:p w14:paraId="36324ACD" w14:textId="77777777" w:rsidR="0063135E" w:rsidRPr="00FA737C" w:rsidRDefault="0063135E" w:rsidP="00E52FB8">
      <w:pPr>
        <w:pStyle w:val="ListParagraph"/>
      </w:pPr>
    </w:p>
    <w:p w14:paraId="426C6926" w14:textId="236E23B3" w:rsidR="006D23E7" w:rsidRPr="00FA737C" w:rsidRDefault="0063135E" w:rsidP="006D23E7">
      <w:pPr>
        <w:pStyle w:val="ListParagraph"/>
        <w:numPr>
          <w:ilvl w:val="0"/>
          <w:numId w:val="3"/>
        </w:numPr>
        <w:ind w:left="360"/>
      </w:pPr>
      <w:r w:rsidRPr="00FA737C">
        <w:t>Appropriate footnotes should be</w:t>
      </w:r>
      <w:r w:rsidR="009A1D5D">
        <w:t xml:space="preserve"> provided in the ‘Special Features’ </w:t>
      </w:r>
      <w:proofErr w:type="gramStart"/>
      <w:r w:rsidR="009A1D5D">
        <w:t>box</w:t>
      </w:r>
      <w:r w:rsidRPr="00FA737C">
        <w:t xml:space="preserve"> </w:t>
      </w:r>
      <w:r w:rsidR="00366F2D">
        <w:t xml:space="preserve"> which</w:t>
      </w:r>
      <w:proofErr w:type="gramEnd"/>
      <w:r w:rsidR="00366F2D">
        <w:t xml:space="preserve"> will show below the</w:t>
      </w:r>
      <w:r w:rsidRPr="00FA737C">
        <w:t xml:space="preserve"> Table A </w:t>
      </w:r>
      <w:r w:rsidR="00851B76" w:rsidRPr="00FA737C">
        <w:t>providing clarification regarding works</w:t>
      </w:r>
      <w:r w:rsidR="007050E8" w:rsidRPr="00FA737C">
        <w:t xml:space="preserve"> or supplementary information</w:t>
      </w:r>
      <w:r w:rsidR="00D50CEA" w:rsidRPr="00FA737C">
        <w:t xml:space="preserve"> not available in the table</w:t>
      </w:r>
      <w:r w:rsidR="007050E8" w:rsidRPr="00FA737C">
        <w:t>. F</w:t>
      </w:r>
      <w:r w:rsidR="00851B76" w:rsidRPr="00FA737C">
        <w:t xml:space="preserve">or </w:t>
      </w:r>
      <w:r w:rsidR="00366F2D" w:rsidRPr="00FA737C">
        <w:t>example,</w:t>
      </w:r>
      <w:r w:rsidR="00851B76" w:rsidRPr="00FA737C">
        <w:t xml:space="preserve"> “Pipeline PLXXX will be cut at Point A and Point B with the ESDV and approximately 5</w:t>
      </w:r>
      <w:r w:rsidR="00E545DD" w:rsidRPr="00FA737C">
        <w:t xml:space="preserve"> </w:t>
      </w:r>
      <w:r w:rsidR="00851B76" w:rsidRPr="00FA737C">
        <w:t>m</w:t>
      </w:r>
      <w:r w:rsidR="00E545DD" w:rsidRPr="00FA737C">
        <w:t>etres</w:t>
      </w:r>
      <w:r w:rsidR="00851B76" w:rsidRPr="00FA737C">
        <w:t xml:space="preserve"> of the pipeline recovered back to shore”.</w:t>
      </w:r>
    </w:p>
    <w:p w14:paraId="540AA601" w14:textId="77777777" w:rsidR="003B70F2" w:rsidRPr="00FA737C" w:rsidRDefault="003B70F2" w:rsidP="003B70F2">
      <w:pPr>
        <w:pStyle w:val="ListParagraph"/>
      </w:pPr>
    </w:p>
    <w:p w14:paraId="0FAF52F4" w14:textId="79E66368" w:rsidR="006D23E7" w:rsidRDefault="0031731B" w:rsidP="00FF581F">
      <w:pPr>
        <w:pStyle w:val="ListParagraph"/>
        <w:numPr>
          <w:ilvl w:val="0"/>
          <w:numId w:val="3"/>
        </w:numPr>
        <w:ind w:left="360"/>
      </w:pPr>
      <w:r w:rsidRPr="00FA737C">
        <w:t xml:space="preserve">Co-ordinates </w:t>
      </w:r>
      <w:r w:rsidR="009F4815">
        <w:t xml:space="preserve">must be provided in the Pipeline header section for the ‘From’ and ‘To’ locations. Any </w:t>
      </w:r>
      <w:r w:rsidR="004D5B53">
        <w:t>c</w:t>
      </w:r>
      <w:r w:rsidR="009F4815">
        <w:t>ut or disconnection point</w:t>
      </w:r>
      <w:r w:rsidR="004D5B53">
        <w:t>s</w:t>
      </w:r>
      <w:r w:rsidR="009F4815">
        <w:t xml:space="preserve"> must also have co-ordinates provided. </w:t>
      </w:r>
    </w:p>
    <w:p w14:paraId="7F40E63C" w14:textId="53D1FD5C" w:rsidR="00FA737C" w:rsidRDefault="00FA737C" w:rsidP="006D23E7">
      <w:pPr>
        <w:pStyle w:val="ListParagraph"/>
        <w:ind w:left="360"/>
      </w:pPr>
    </w:p>
    <w:p w14:paraId="39F18EE2" w14:textId="77D44F50" w:rsidR="00FA737C" w:rsidRDefault="00FA737C" w:rsidP="006D23E7">
      <w:pPr>
        <w:pStyle w:val="ListParagraph"/>
        <w:ind w:left="360"/>
      </w:pPr>
    </w:p>
    <w:p w14:paraId="26F3A10E" w14:textId="6815D9BB" w:rsidR="00FA737C" w:rsidRDefault="00FA737C" w:rsidP="006D23E7">
      <w:pPr>
        <w:pStyle w:val="ListParagraph"/>
        <w:ind w:left="360"/>
      </w:pPr>
    </w:p>
    <w:p w14:paraId="294EBFF0" w14:textId="3013A95F" w:rsidR="00FA737C" w:rsidRDefault="00FA737C" w:rsidP="006D23E7">
      <w:pPr>
        <w:pStyle w:val="ListParagraph"/>
        <w:ind w:left="360"/>
      </w:pPr>
    </w:p>
    <w:p w14:paraId="7D5566AB" w14:textId="77777777" w:rsidR="00FA737C" w:rsidRPr="00FA737C" w:rsidRDefault="00FA737C" w:rsidP="006D23E7">
      <w:pPr>
        <w:pStyle w:val="ListParagraph"/>
        <w:ind w:left="360"/>
      </w:pPr>
    </w:p>
    <w:p w14:paraId="540E1A07" w14:textId="77777777" w:rsidR="00294263" w:rsidRPr="00FA737C" w:rsidRDefault="00294263" w:rsidP="00E52FB8">
      <w:pPr>
        <w:pStyle w:val="Heading1"/>
        <w:spacing w:before="0" w:after="120"/>
        <w:contextualSpacing/>
        <w:rPr>
          <w:rFonts w:ascii="Arial" w:hAnsi="Arial" w:cs="Arial"/>
          <w:b w:val="0"/>
          <w:color w:val="auto"/>
          <w:u w:val="single"/>
        </w:rPr>
      </w:pPr>
      <w:bookmarkStart w:id="6" w:name="_Toc464634972"/>
      <w:r w:rsidRPr="00FA737C">
        <w:rPr>
          <w:rFonts w:ascii="Arial" w:hAnsi="Arial" w:cs="Arial"/>
          <w:b w:val="0"/>
          <w:color w:val="auto"/>
          <w:u w:val="single"/>
        </w:rPr>
        <w:t>Table A Schematic</w:t>
      </w:r>
      <w:bookmarkEnd w:id="6"/>
    </w:p>
    <w:p w14:paraId="0C9AC26E" w14:textId="2FF33891" w:rsidR="00652286" w:rsidRPr="00FA737C" w:rsidRDefault="00294263" w:rsidP="00FF581F">
      <w:pPr>
        <w:pStyle w:val="ListParagraph"/>
        <w:ind w:left="357"/>
      </w:pPr>
      <w:r w:rsidRPr="00FA737C">
        <w:t>Schematic drawings for associated Table A</w:t>
      </w:r>
      <w:r w:rsidR="00014885" w:rsidRPr="00FA737C">
        <w:t>(s)</w:t>
      </w:r>
      <w:r w:rsidRPr="00FA737C">
        <w:t xml:space="preserve"> must be</w:t>
      </w:r>
      <w:r w:rsidR="00652286" w:rsidRPr="00FA737C">
        <w:t xml:space="preserve"> simple, well laid out and</w:t>
      </w:r>
      <w:r w:rsidRPr="00FA737C">
        <w:t xml:space="preserve"> of a high resolution to provide ease of review for </w:t>
      </w:r>
      <w:r w:rsidR="0012389E">
        <w:t>NST</w:t>
      </w:r>
      <w:r w:rsidRPr="00FA737C">
        <w:t>A and consultee.</w:t>
      </w:r>
    </w:p>
    <w:p w14:paraId="2821AADD" w14:textId="77777777" w:rsidR="00E52FB8" w:rsidRPr="00FA737C" w:rsidRDefault="00E52FB8" w:rsidP="00E52FB8">
      <w:pPr>
        <w:pStyle w:val="ListParagraph"/>
        <w:ind w:left="357"/>
      </w:pPr>
    </w:p>
    <w:p w14:paraId="2EA49CE7" w14:textId="77777777" w:rsidR="00294263" w:rsidRPr="00FA737C" w:rsidRDefault="007E4DA5" w:rsidP="00E52FB8">
      <w:pPr>
        <w:pStyle w:val="ListParagraph"/>
        <w:numPr>
          <w:ilvl w:val="0"/>
          <w:numId w:val="7"/>
        </w:numPr>
      </w:pPr>
      <w:r w:rsidRPr="00FA737C">
        <w:t xml:space="preserve">The information supplied on the schematic must match the related Table A exactly, with regards to idents and the main </w:t>
      </w:r>
      <w:proofErr w:type="gramStart"/>
      <w:r w:rsidRPr="00FA737C">
        <w:t>From</w:t>
      </w:r>
      <w:proofErr w:type="gramEnd"/>
      <w:r w:rsidRPr="00FA737C">
        <w:t>/To points.</w:t>
      </w:r>
    </w:p>
    <w:p w14:paraId="7C2421BB" w14:textId="77777777" w:rsidR="00E52FB8" w:rsidRPr="00FA737C" w:rsidRDefault="00E52FB8" w:rsidP="00E52FB8">
      <w:pPr>
        <w:pStyle w:val="ListParagraph"/>
        <w:ind w:left="360"/>
      </w:pPr>
    </w:p>
    <w:p w14:paraId="112EFEA5" w14:textId="10F0E16E" w:rsidR="00BE7B1B" w:rsidRDefault="006D23E7" w:rsidP="00E52FB8">
      <w:pPr>
        <w:pStyle w:val="ListParagraph"/>
        <w:numPr>
          <w:ilvl w:val="0"/>
          <w:numId w:val="7"/>
        </w:numPr>
      </w:pPr>
      <w:r w:rsidRPr="00FA737C">
        <w:t>Schematic should clearly display pipeline number in the correct format, ident number(s) and annotations for the main start/end points exactly as described in the Table A.</w:t>
      </w:r>
    </w:p>
    <w:p w14:paraId="4C9EAE78" w14:textId="77777777" w:rsidR="00A65477" w:rsidRDefault="00A65477" w:rsidP="00FF581F">
      <w:pPr>
        <w:pStyle w:val="ListParagraph"/>
      </w:pPr>
    </w:p>
    <w:p w14:paraId="0404F103" w14:textId="4D9F2D40" w:rsidR="00A65477" w:rsidRPr="00FA737C" w:rsidRDefault="00A65477" w:rsidP="00E52FB8">
      <w:pPr>
        <w:pStyle w:val="ListParagraph"/>
        <w:numPr>
          <w:ilvl w:val="0"/>
          <w:numId w:val="7"/>
        </w:numPr>
      </w:pPr>
      <w:r>
        <w:t xml:space="preserve">Cut points or disconnect points must be annotated on the schematics. </w:t>
      </w:r>
    </w:p>
    <w:p w14:paraId="52EBAF38" w14:textId="77777777" w:rsidR="00652286" w:rsidRPr="00FA737C" w:rsidRDefault="00652286" w:rsidP="00652286">
      <w:pPr>
        <w:pStyle w:val="ListParagraph"/>
      </w:pPr>
    </w:p>
    <w:p w14:paraId="36ADE8C9" w14:textId="77777777" w:rsidR="00652286" w:rsidRPr="00FA737C" w:rsidRDefault="00652286" w:rsidP="00E52FB8">
      <w:pPr>
        <w:pStyle w:val="ListParagraph"/>
        <w:numPr>
          <w:ilvl w:val="0"/>
          <w:numId w:val="7"/>
        </w:numPr>
      </w:pPr>
      <w:r w:rsidRPr="00FA737C">
        <w:t>No company branding or logos will be accepted on the pipeline schematic.</w:t>
      </w:r>
    </w:p>
    <w:p w14:paraId="48C84102" w14:textId="77777777" w:rsidR="0007506B" w:rsidRPr="00FA737C" w:rsidRDefault="0007506B" w:rsidP="00E52FB8">
      <w:pPr>
        <w:pStyle w:val="ListParagraph"/>
        <w:ind w:left="360"/>
      </w:pPr>
    </w:p>
    <w:p w14:paraId="4572C956" w14:textId="77777777" w:rsidR="00D16B7F" w:rsidRPr="00FA737C" w:rsidRDefault="00D16B7F" w:rsidP="00D16B7F">
      <w:pPr>
        <w:pStyle w:val="Heading1"/>
        <w:spacing w:before="0" w:after="120"/>
        <w:contextualSpacing/>
        <w:rPr>
          <w:rFonts w:ascii="Arial" w:hAnsi="Arial" w:cs="Arial"/>
          <w:b w:val="0"/>
          <w:color w:val="auto"/>
          <w:u w:val="single"/>
        </w:rPr>
      </w:pPr>
      <w:bookmarkStart w:id="7" w:name="_Toc464634973"/>
      <w:r w:rsidRPr="00FA737C">
        <w:rPr>
          <w:rFonts w:ascii="Arial" w:hAnsi="Arial" w:cs="Arial"/>
          <w:b w:val="0"/>
          <w:color w:val="auto"/>
          <w:u w:val="single"/>
        </w:rPr>
        <w:t>Electric Cables</w:t>
      </w:r>
      <w:bookmarkEnd w:id="7"/>
    </w:p>
    <w:p w14:paraId="7B1DCF84" w14:textId="00B2A3B7" w:rsidR="00FA737C" w:rsidRPr="00FA737C" w:rsidRDefault="00D16B7F" w:rsidP="00FA737C">
      <w:pPr>
        <w:pStyle w:val="ListParagraph"/>
        <w:numPr>
          <w:ilvl w:val="0"/>
          <w:numId w:val="6"/>
        </w:numPr>
      </w:pPr>
      <w:r w:rsidRPr="00FA737C">
        <w:t>Operators should submit a Table A and Schematic</w:t>
      </w:r>
      <w:r w:rsidR="00E378FB" w:rsidRPr="00FA737C">
        <w:t xml:space="preserve"> following the guidelines mentioned above</w:t>
      </w:r>
      <w:r w:rsidRPr="00FA737C">
        <w:t xml:space="preserve"> for any electrical cables on the seabed that have not been covered by the PWA. These lines will have been laid under FEPA/SEPA and never recorded under the current PWA regime.</w:t>
      </w:r>
      <w:r w:rsidR="00C3176B" w:rsidRPr="00FA737C">
        <w:t xml:space="preserve"> The </w:t>
      </w:r>
      <w:r w:rsidR="0012389E">
        <w:t>NST</w:t>
      </w:r>
      <w:r w:rsidR="00C3176B" w:rsidRPr="00FA737C">
        <w:t>A will allocate a pipeline number</w:t>
      </w:r>
      <w:r w:rsidR="00B1420F" w:rsidRPr="00FA737C">
        <w:t xml:space="preserve"> which will be used to track and record data on the line. The </w:t>
      </w:r>
      <w:r w:rsidR="0012389E">
        <w:t>NST</w:t>
      </w:r>
      <w:r w:rsidR="00B1420F" w:rsidRPr="00FA737C">
        <w:t>A only require information on electrical lines used for the control of subsea infrastructure and pipeline systems.</w:t>
      </w:r>
    </w:p>
    <w:p w14:paraId="00AF004F" w14:textId="77777777" w:rsidR="00695574" w:rsidRPr="00FA737C" w:rsidRDefault="00695574" w:rsidP="00695574">
      <w:pPr>
        <w:pStyle w:val="Heading1"/>
        <w:spacing w:after="120"/>
        <w:contextualSpacing/>
        <w:rPr>
          <w:rFonts w:ascii="Arial" w:hAnsi="Arial" w:cs="Arial"/>
          <w:b w:val="0"/>
          <w:color w:val="auto"/>
          <w:u w:val="single"/>
        </w:rPr>
      </w:pPr>
      <w:bookmarkStart w:id="8" w:name="_Toc464634974"/>
      <w:r w:rsidRPr="00FA737C">
        <w:rPr>
          <w:rFonts w:ascii="Arial" w:hAnsi="Arial" w:cs="Arial"/>
          <w:b w:val="0"/>
          <w:color w:val="auto"/>
          <w:u w:val="single"/>
        </w:rPr>
        <w:lastRenderedPageBreak/>
        <w:t>Health and Safety Executive (HSE)</w:t>
      </w:r>
      <w:bookmarkEnd w:id="8"/>
    </w:p>
    <w:p w14:paraId="54AB750B" w14:textId="77777777" w:rsidR="00695574" w:rsidRPr="00FA737C" w:rsidRDefault="00695574" w:rsidP="00695574">
      <w:pPr>
        <w:pStyle w:val="ListParagraph"/>
        <w:numPr>
          <w:ilvl w:val="0"/>
          <w:numId w:val="6"/>
        </w:numPr>
      </w:pPr>
      <w:r w:rsidRPr="00FA737C">
        <w:t>Operators are reminded to engage with the HSE early in the decommissioning process to discuss any specific requirements or conditions.</w:t>
      </w:r>
    </w:p>
    <w:p w14:paraId="5E6D0C3B" w14:textId="3450D361" w:rsidR="00FA737C" w:rsidRPr="00FA737C" w:rsidRDefault="007443F8" w:rsidP="00FA737C">
      <w:pPr>
        <w:numPr>
          <w:ilvl w:val="0"/>
          <w:numId w:val="6"/>
        </w:numPr>
        <w:spacing w:after="200"/>
        <w:rPr>
          <w:lang w:val="en"/>
        </w:rPr>
      </w:pPr>
      <w:r w:rsidRPr="00FA737C">
        <w:rPr>
          <w:lang w:val="en"/>
        </w:rPr>
        <w:t xml:space="preserve">Notification to HSE is required of </w:t>
      </w:r>
      <w:r w:rsidR="00B221E3" w:rsidRPr="00FA737C">
        <w:rPr>
          <w:lang w:val="en"/>
        </w:rPr>
        <w:t xml:space="preserve">any significant </w:t>
      </w:r>
      <w:r w:rsidRPr="00FA737C">
        <w:rPr>
          <w:lang w:val="en"/>
        </w:rPr>
        <w:t xml:space="preserve">change </w:t>
      </w:r>
      <w:r w:rsidR="003E4EE9" w:rsidRPr="00FA737C">
        <w:rPr>
          <w:lang w:val="en"/>
        </w:rPr>
        <w:t>to a</w:t>
      </w:r>
      <w:r w:rsidR="00B221E3" w:rsidRPr="00FA737C">
        <w:rPr>
          <w:lang w:val="en"/>
        </w:rPr>
        <w:t xml:space="preserve"> pipeline which affect</w:t>
      </w:r>
      <w:r w:rsidR="003E4EE9" w:rsidRPr="00FA737C">
        <w:rPr>
          <w:lang w:val="en"/>
        </w:rPr>
        <w:t>s</w:t>
      </w:r>
      <w:r w:rsidR="00B221E3" w:rsidRPr="00FA737C">
        <w:rPr>
          <w:lang w:val="en"/>
        </w:rPr>
        <w:t xml:space="preserve"> the level of risk, </w:t>
      </w:r>
      <w:r w:rsidRPr="00FA737C">
        <w:rPr>
          <w:lang w:val="en"/>
        </w:rPr>
        <w:t xml:space="preserve">such as changes in the operating regime, e.g. </w:t>
      </w:r>
      <w:proofErr w:type="gramStart"/>
      <w:r w:rsidRPr="00FA737C">
        <w:rPr>
          <w:lang w:val="en"/>
        </w:rPr>
        <w:t>change</w:t>
      </w:r>
      <w:proofErr w:type="gramEnd"/>
      <w:r w:rsidRPr="00FA737C">
        <w:rPr>
          <w:lang w:val="en"/>
        </w:rPr>
        <w:t xml:space="preserve"> in fluid and cessation of use of the pipeline. Operators </w:t>
      </w:r>
      <w:proofErr w:type="gramStart"/>
      <w:r w:rsidRPr="00FA737C">
        <w:rPr>
          <w:lang w:val="en"/>
        </w:rPr>
        <w:t>have to</w:t>
      </w:r>
      <w:proofErr w:type="gramEnd"/>
      <w:r w:rsidRPr="00FA737C">
        <w:rPr>
          <w:lang w:val="en"/>
        </w:rPr>
        <w:t xml:space="preserve"> submit a Pipeline</w:t>
      </w:r>
      <w:r w:rsidR="00B221E3" w:rsidRPr="00FA737C">
        <w:rPr>
          <w:lang w:val="en"/>
        </w:rPr>
        <w:t>s</w:t>
      </w:r>
      <w:r w:rsidRPr="00FA737C">
        <w:rPr>
          <w:lang w:val="en"/>
        </w:rPr>
        <w:t xml:space="preserve"> Safety Regulations </w:t>
      </w:r>
      <w:r w:rsidRPr="00FA737C">
        <w:t xml:space="preserve">(1996) Notification to the HSE, </w:t>
      </w:r>
      <w:r w:rsidR="003E4EE9" w:rsidRPr="00FA737C">
        <w:t xml:space="preserve">under </w:t>
      </w:r>
      <w:r w:rsidRPr="00FA737C">
        <w:t>Regulation 22</w:t>
      </w:r>
      <w:r w:rsidR="003E4EE9" w:rsidRPr="00FA737C">
        <w:t xml:space="preserve"> </w:t>
      </w:r>
      <w:r w:rsidRPr="00FA737C">
        <w:t>“Notification in other cases</w:t>
      </w:r>
      <w:r w:rsidR="00ED6DB2" w:rsidRPr="00FA737C">
        <w:t>”.</w:t>
      </w:r>
    </w:p>
    <w:p w14:paraId="42E0D25B" w14:textId="77777777" w:rsidR="00FA737C" w:rsidRDefault="00FA737C" w:rsidP="00E52FB8">
      <w:pPr>
        <w:pStyle w:val="Heading1"/>
        <w:spacing w:before="0" w:after="120"/>
        <w:contextualSpacing/>
        <w:rPr>
          <w:rFonts w:ascii="Arial" w:hAnsi="Arial" w:cs="Arial"/>
          <w:b w:val="0"/>
          <w:color w:val="auto"/>
          <w:u w:val="single"/>
        </w:rPr>
      </w:pPr>
      <w:bookmarkStart w:id="9" w:name="_Toc464634975"/>
    </w:p>
    <w:p w14:paraId="7489A980" w14:textId="16C29BD4" w:rsidR="00DD30C7" w:rsidRPr="00FA737C" w:rsidRDefault="00154154" w:rsidP="00E52FB8">
      <w:pPr>
        <w:pStyle w:val="Heading1"/>
        <w:spacing w:before="0" w:after="120"/>
        <w:contextualSpacing/>
        <w:rPr>
          <w:rFonts w:ascii="Arial" w:hAnsi="Arial" w:cs="Arial"/>
          <w:b w:val="0"/>
          <w:color w:val="auto"/>
          <w:u w:val="single"/>
        </w:rPr>
      </w:pPr>
      <w:r w:rsidRPr="00FA737C">
        <w:rPr>
          <w:rFonts w:ascii="Arial" w:hAnsi="Arial" w:cs="Arial"/>
          <w:b w:val="0"/>
          <w:color w:val="auto"/>
          <w:u w:val="single"/>
        </w:rPr>
        <w:t>Environmental Permits</w:t>
      </w:r>
      <w:r w:rsidR="00332B5C" w:rsidRPr="00FA737C">
        <w:rPr>
          <w:rFonts w:ascii="Arial" w:hAnsi="Arial" w:cs="Arial"/>
          <w:b w:val="0"/>
          <w:color w:val="auto"/>
          <w:u w:val="single"/>
        </w:rPr>
        <w:t xml:space="preserve"> (BEIS)</w:t>
      </w:r>
      <w:bookmarkEnd w:id="9"/>
    </w:p>
    <w:p w14:paraId="60388983" w14:textId="09B4C2FC" w:rsidR="00466EB6" w:rsidRDefault="00154154" w:rsidP="00466EB6">
      <w:pPr>
        <w:pStyle w:val="ListParagraph"/>
        <w:numPr>
          <w:ilvl w:val="0"/>
          <w:numId w:val="6"/>
        </w:numPr>
      </w:pPr>
      <w:r w:rsidRPr="00FA737C">
        <w:t>Operator</w:t>
      </w:r>
      <w:r w:rsidR="00C23ACA" w:rsidRPr="00FA737C">
        <w:t>s</w:t>
      </w:r>
      <w:r w:rsidRPr="00FA737C">
        <w:t xml:space="preserve"> should sub</w:t>
      </w:r>
      <w:r w:rsidR="00F4215F" w:rsidRPr="00FA737C">
        <w:t>mit all required permits to BEIS</w:t>
      </w:r>
      <w:r w:rsidRPr="00FA737C">
        <w:t xml:space="preserve"> EMT in good time. T</w:t>
      </w:r>
      <w:r w:rsidR="00C23ACA" w:rsidRPr="00FA737C">
        <w:t xml:space="preserve">hese permits will require a Statutory </w:t>
      </w:r>
      <w:proofErr w:type="gramStart"/>
      <w:r w:rsidR="00C23ACA" w:rsidRPr="00FA737C">
        <w:t>28 day</w:t>
      </w:r>
      <w:proofErr w:type="gramEnd"/>
      <w:r w:rsidR="00C23ACA" w:rsidRPr="00FA737C">
        <w:t xml:space="preserve"> consultation period, which should run concurrently with the </w:t>
      </w:r>
      <w:r w:rsidR="0012389E">
        <w:t>NST</w:t>
      </w:r>
      <w:r w:rsidR="00C23ACA" w:rsidRPr="00FA737C">
        <w:t>A consultation as these environmental permits support the pipeline works authorisation.</w:t>
      </w:r>
    </w:p>
    <w:p w14:paraId="4392925F" w14:textId="7ADF1C10" w:rsidR="00FA737C" w:rsidRDefault="00FA737C" w:rsidP="00FA737C"/>
    <w:p w14:paraId="5C447A43" w14:textId="77777777" w:rsidR="00FA737C" w:rsidRPr="00FA737C" w:rsidRDefault="00FA737C" w:rsidP="00FA737C"/>
    <w:p w14:paraId="740043B9" w14:textId="77777777" w:rsidR="000A3ADC" w:rsidRPr="00FA737C" w:rsidRDefault="000A3ADC" w:rsidP="000A3ADC">
      <w:pPr>
        <w:pStyle w:val="Heading1"/>
        <w:spacing w:after="120"/>
        <w:contextualSpacing/>
        <w:rPr>
          <w:rFonts w:ascii="Arial" w:hAnsi="Arial" w:cs="Arial"/>
          <w:b w:val="0"/>
          <w:color w:val="auto"/>
          <w:u w:val="single"/>
        </w:rPr>
      </w:pPr>
      <w:bookmarkStart w:id="10" w:name="_Toc464634976"/>
      <w:r w:rsidRPr="00FA737C">
        <w:rPr>
          <w:rFonts w:ascii="Arial" w:hAnsi="Arial" w:cs="Arial"/>
          <w:b w:val="0"/>
          <w:color w:val="auto"/>
          <w:u w:val="single"/>
        </w:rPr>
        <w:t>Pipeline Deposits</w:t>
      </w:r>
      <w:bookmarkEnd w:id="10"/>
    </w:p>
    <w:p w14:paraId="493307F1" w14:textId="77777777" w:rsidR="00572D5A" w:rsidRPr="00FA737C" w:rsidRDefault="00A66B3E" w:rsidP="00213EE9">
      <w:pPr>
        <w:pStyle w:val="ListParagraph"/>
        <w:numPr>
          <w:ilvl w:val="0"/>
          <w:numId w:val="6"/>
        </w:numPr>
      </w:pPr>
      <w:r w:rsidRPr="00FA737C">
        <w:t>A Deposit Consent is for the support and protection of a pipeline</w:t>
      </w:r>
      <w:r w:rsidR="00572D5A" w:rsidRPr="00FA737C">
        <w:t xml:space="preserve"> authorised under the PWA</w:t>
      </w:r>
      <w:r w:rsidRPr="00FA737C">
        <w:t xml:space="preserve">, if the deposit is not for this; contact BEIS EMT to apply for a Marine Coastal Access Act (MCAA) licence.  </w:t>
      </w:r>
    </w:p>
    <w:p w14:paraId="45C48C94" w14:textId="77777777" w:rsidR="00213EE9" w:rsidRPr="00FA737C" w:rsidRDefault="00213EE9" w:rsidP="00213EE9">
      <w:pPr>
        <w:pStyle w:val="ListParagraph"/>
        <w:ind w:left="360"/>
      </w:pPr>
    </w:p>
    <w:p w14:paraId="2051F66A" w14:textId="22F3B312" w:rsidR="00A66B3E" w:rsidRPr="00FA737C" w:rsidRDefault="00572D5A" w:rsidP="000A3ADC">
      <w:pPr>
        <w:pStyle w:val="ListParagraph"/>
        <w:numPr>
          <w:ilvl w:val="0"/>
          <w:numId w:val="6"/>
        </w:numPr>
      </w:pPr>
      <w:r w:rsidRPr="00FA737C">
        <w:t xml:space="preserve">The </w:t>
      </w:r>
      <w:r w:rsidR="0012389E">
        <w:t>NST</w:t>
      </w:r>
      <w:r w:rsidRPr="00FA737C">
        <w:t xml:space="preserve">A will allow up to a </w:t>
      </w:r>
      <w:proofErr w:type="gramStart"/>
      <w:r w:rsidRPr="00FA737C">
        <w:t>12 month</w:t>
      </w:r>
      <w:proofErr w:type="gramEnd"/>
      <w:r w:rsidRPr="00FA737C">
        <w:t xml:space="preserve"> period to lay deposits in connection with decommissioning campaigns. </w:t>
      </w:r>
    </w:p>
    <w:p w14:paraId="03670286" w14:textId="77777777" w:rsidR="00213EE9" w:rsidRPr="00FA737C" w:rsidRDefault="00213EE9" w:rsidP="00213EE9">
      <w:pPr>
        <w:pStyle w:val="ListParagraph"/>
      </w:pPr>
    </w:p>
    <w:p w14:paraId="21D88322" w14:textId="143FB4ED" w:rsidR="00213EE9" w:rsidRPr="00FA737C" w:rsidRDefault="00213EE9" w:rsidP="00213EE9">
      <w:pPr>
        <w:pStyle w:val="ListParagraph"/>
        <w:numPr>
          <w:ilvl w:val="0"/>
          <w:numId w:val="6"/>
        </w:numPr>
      </w:pPr>
      <w:r w:rsidRPr="00FA737C">
        <w:t xml:space="preserve">There are two classifications of deposits, permanent and temporary. Details of permanent deposits must be included in the variation </w:t>
      </w:r>
      <w:proofErr w:type="gramStart"/>
      <w:r w:rsidRPr="00FA737C">
        <w:t>application</w:t>
      </w:r>
      <w:r w:rsidR="00924E03">
        <w:t>.</w:t>
      </w:r>
      <w:r w:rsidR="00F56528" w:rsidRPr="00FA737C">
        <w:t>.</w:t>
      </w:r>
      <w:proofErr w:type="gramEnd"/>
      <w:r w:rsidR="00F56528" w:rsidRPr="00FA737C">
        <w:t xml:space="preserve"> Temporary deposits may be outlined in the application but are included for information only.</w:t>
      </w:r>
    </w:p>
    <w:p w14:paraId="0A2B6887" w14:textId="77777777" w:rsidR="0018259D" w:rsidRPr="00FA737C" w:rsidRDefault="0018259D" w:rsidP="0018259D">
      <w:pPr>
        <w:pStyle w:val="ListParagraph"/>
      </w:pPr>
    </w:p>
    <w:p w14:paraId="3E55A6DC" w14:textId="2022FF43" w:rsidR="0018259D" w:rsidRPr="00FA737C" w:rsidRDefault="00842730" w:rsidP="00213EE9">
      <w:pPr>
        <w:pStyle w:val="ListParagraph"/>
        <w:numPr>
          <w:ilvl w:val="0"/>
          <w:numId w:val="6"/>
        </w:numPr>
      </w:pPr>
      <w:r w:rsidRPr="00FA737C">
        <w:t xml:space="preserve">The </w:t>
      </w:r>
      <w:r w:rsidR="0012389E">
        <w:t>NST</w:t>
      </w:r>
      <w:r w:rsidRPr="00FA737C">
        <w:t>A do not require confirmation of actual deposited figures once the proposed works have been completed.</w:t>
      </w:r>
    </w:p>
    <w:p w14:paraId="76EF1904" w14:textId="77777777" w:rsidR="003F1A67" w:rsidRPr="00FA737C" w:rsidRDefault="003F1A67" w:rsidP="00B83B5D">
      <w:pPr>
        <w:pStyle w:val="Heading1"/>
        <w:spacing w:before="0" w:after="120"/>
        <w:contextualSpacing/>
        <w:rPr>
          <w:rFonts w:ascii="Arial" w:hAnsi="Arial" w:cs="Arial"/>
          <w:b w:val="0"/>
          <w:color w:val="auto"/>
          <w:u w:val="single"/>
        </w:rPr>
      </w:pPr>
      <w:bookmarkStart w:id="11" w:name="_Toc464634977"/>
    </w:p>
    <w:p w14:paraId="4D9F9927" w14:textId="77777777" w:rsidR="00B83B5D" w:rsidRPr="00FA737C" w:rsidRDefault="00B83B5D" w:rsidP="00B83B5D">
      <w:pPr>
        <w:pStyle w:val="Heading1"/>
        <w:spacing w:before="0" w:after="120"/>
        <w:contextualSpacing/>
        <w:rPr>
          <w:rFonts w:ascii="Arial" w:hAnsi="Arial" w:cs="Arial"/>
          <w:b w:val="0"/>
          <w:color w:val="auto"/>
          <w:u w:val="single"/>
        </w:rPr>
      </w:pPr>
      <w:r w:rsidRPr="00FA737C">
        <w:rPr>
          <w:rFonts w:ascii="Arial" w:hAnsi="Arial" w:cs="Arial"/>
          <w:b w:val="0"/>
          <w:color w:val="auto"/>
          <w:u w:val="single"/>
        </w:rPr>
        <w:t>Agreement Letters</w:t>
      </w:r>
      <w:bookmarkEnd w:id="11"/>
    </w:p>
    <w:p w14:paraId="7EC339D1" w14:textId="5DA2291B" w:rsidR="00B83B5D" w:rsidRPr="00FA737C" w:rsidRDefault="009B3C46" w:rsidP="00B83B5D">
      <w:pPr>
        <w:pStyle w:val="ListParagraph"/>
        <w:numPr>
          <w:ilvl w:val="0"/>
          <w:numId w:val="6"/>
        </w:numPr>
      </w:pPr>
      <w:r>
        <w:rPr>
          <w:lang w:val="en"/>
        </w:rPr>
        <w:t xml:space="preserve"> Draft crossing letter</w:t>
      </w:r>
      <w:r w:rsidR="0012389E">
        <w:rPr>
          <w:lang w:val="en"/>
        </w:rPr>
        <w:t>s</w:t>
      </w:r>
      <w:r>
        <w:rPr>
          <w:lang w:val="en"/>
        </w:rPr>
        <w:t xml:space="preserve"> can be found </w:t>
      </w:r>
      <w:r w:rsidR="00DF1177">
        <w:rPr>
          <w:lang w:val="en"/>
        </w:rPr>
        <w:t xml:space="preserve">on the NSTA Webpage - </w:t>
      </w:r>
      <w:hyperlink r:id="rId25" w:history="1">
        <w:r w:rsidR="0012389E">
          <w:rPr>
            <w:rStyle w:val="Hyperlink"/>
          </w:rPr>
          <w:t>North Sea Transition Authority (NSTA): PWA applications - Pipeline Works Authorisations - Consents - Licensing &amp; &lt;</w:t>
        </w:r>
        <w:proofErr w:type="spellStart"/>
        <w:r w:rsidR="0012389E">
          <w:rPr>
            <w:rStyle w:val="Hyperlink"/>
          </w:rPr>
          <w:t>br</w:t>
        </w:r>
        <w:proofErr w:type="spellEnd"/>
        <w:r w:rsidR="0012389E">
          <w:rPr>
            <w:rStyle w:val="Hyperlink"/>
          </w:rPr>
          <w:t>/&gt;consents (nstauthority.co.uk)</w:t>
        </w:r>
      </w:hyperlink>
      <w:r w:rsidR="0012389E">
        <w:t xml:space="preserve"> </w:t>
      </w:r>
    </w:p>
    <w:p w14:paraId="228E0029" w14:textId="77777777" w:rsidR="00023120" w:rsidRPr="00FA737C" w:rsidRDefault="00023120" w:rsidP="00023120">
      <w:pPr>
        <w:pStyle w:val="ListParagraph"/>
        <w:ind w:left="360"/>
      </w:pPr>
    </w:p>
    <w:p w14:paraId="3CA8FAD6" w14:textId="77777777" w:rsidR="00B83B5D" w:rsidRPr="00FA737C" w:rsidRDefault="00B83B5D" w:rsidP="00B83B5D">
      <w:pPr>
        <w:pStyle w:val="ListParagraph"/>
        <w:numPr>
          <w:ilvl w:val="0"/>
          <w:numId w:val="6"/>
        </w:numPr>
      </w:pPr>
      <w:r w:rsidRPr="00FA737C">
        <w:t>If an Operator is flushing the</w:t>
      </w:r>
      <w:r w:rsidR="00023120" w:rsidRPr="00FA737C">
        <w:t xml:space="preserve"> pipeline system only, then block crossing, telecom crossing, pipeline crossing and median line agreement letters will not apply.</w:t>
      </w:r>
      <w:r w:rsidR="005E58A7" w:rsidRPr="00FA737C">
        <w:t xml:space="preserve"> This must be noted in the main text of the application.</w:t>
      </w:r>
    </w:p>
    <w:p w14:paraId="39ABCAB2" w14:textId="77777777" w:rsidR="005E58A7" w:rsidRPr="00FA737C" w:rsidRDefault="005E58A7" w:rsidP="005E58A7">
      <w:pPr>
        <w:pStyle w:val="ListParagraph"/>
      </w:pPr>
    </w:p>
    <w:p w14:paraId="0E8BD82C" w14:textId="77777777" w:rsidR="005E58A7" w:rsidRPr="00FA737C" w:rsidRDefault="004C5ADD" w:rsidP="00B83B5D">
      <w:pPr>
        <w:pStyle w:val="ListParagraph"/>
        <w:numPr>
          <w:ilvl w:val="0"/>
          <w:numId w:val="6"/>
        </w:numPr>
      </w:pPr>
      <w:r w:rsidRPr="00FA737C">
        <w:t xml:space="preserve">Pipeline(s) that are to be cut and removed may require inclusion of the necessary agreement letters and </w:t>
      </w:r>
      <w:r w:rsidR="00152F4D" w:rsidRPr="00FA737C">
        <w:t>the appropri</w:t>
      </w:r>
      <w:r w:rsidR="00272E36" w:rsidRPr="00FA737C">
        <w:t>ate discussions between essential</w:t>
      </w:r>
      <w:r w:rsidR="00152F4D" w:rsidRPr="00FA737C">
        <w:t xml:space="preserve"> parties should take place at the earliest convenience.</w:t>
      </w:r>
    </w:p>
    <w:p w14:paraId="25F0CABB" w14:textId="77777777" w:rsidR="008920C6" w:rsidRPr="00FA737C" w:rsidRDefault="008920C6" w:rsidP="00131AD1">
      <w:pPr>
        <w:pStyle w:val="ListParagraph"/>
      </w:pPr>
    </w:p>
    <w:p w14:paraId="219E2AFF" w14:textId="310FEB51" w:rsidR="008920C6" w:rsidRPr="00FA737C" w:rsidRDefault="008920C6">
      <w:pPr>
        <w:pStyle w:val="ListParagraph"/>
        <w:numPr>
          <w:ilvl w:val="0"/>
          <w:numId w:val="6"/>
        </w:numPr>
      </w:pPr>
      <w:r w:rsidRPr="00FA737C">
        <w:t xml:space="preserve">All necessary final signed and dated agreement letters should be </w:t>
      </w:r>
      <w:r w:rsidR="00D26BF2">
        <w:t xml:space="preserve">attached </w:t>
      </w:r>
      <w:proofErr w:type="gramStart"/>
      <w:r w:rsidR="00D26BF2">
        <w:t xml:space="preserve">to </w:t>
      </w:r>
      <w:r w:rsidRPr="00FA737C">
        <w:t xml:space="preserve"> the</w:t>
      </w:r>
      <w:proofErr w:type="gramEnd"/>
      <w:r w:rsidRPr="00FA737C">
        <w:t xml:space="preserve"> application prior to the </w:t>
      </w:r>
      <w:proofErr w:type="gramStart"/>
      <w:r w:rsidRPr="00FA737C">
        <w:t>28 day</w:t>
      </w:r>
      <w:proofErr w:type="gramEnd"/>
      <w:r w:rsidRPr="00FA737C">
        <w:t xml:space="preserve"> consultation period.</w:t>
      </w:r>
    </w:p>
    <w:p w14:paraId="4BE441EB" w14:textId="77777777" w:rsidR="008920C6" w:rsidRPr="00FA737C" w:rsidRDefault="008920C6" w:rsidP="00131AD1">
      <w:pPr>
        <w:pStyle w:val="ListParagraph"/>
      </w:pPr>
    </w:p>
    <w:p w14:paraId="0EC1A094" w14:textId="3FFB3F43" w:rsidR="008920C6" w:rsidRPr="00FA737C" w:rsidRDefault="008920C6">
      <w:pPr>
        <w:pStyle w:val="ListParagraph"/>
        <w:numPr>
          <w:ilvl w:val="0"/>
          <w:numId w:val="6"/>
        </w:numPr>
        <w:rPr>
          <w:b/>
        </w:rPr>
      </w:pPr>
      <w:r w:rsidRPr="00FA737C">
        <w:t xml:space="preserve">An application that does not contain the required letters will not be considered as “satisfactory” by the </w:t>
      </w:r>
      <w:r w:rsidR="009B3C46">
        <w:t>NST</w:t>
      </w:r>
      <w:r w:rsidRPr="00FA737C">
        <w:t xml:space="preserve">A and will not progress to the consultation stage. </w:t>
      </w:r>
      <w:r w:rsidRPr="00FA737C">
        <w:rPr>
          <w:b/>
        </w:rPr>
        <w:t xml:space="preserve">This may </w:t>
      </w:r>
      <w:proofErr w:type="gramStart"/>
      <w:r w:rsidRPr="00FA737C">
        <w:rPr>
          <w:b/>
        </w:rPr>
        <w:t>have an effect on</w:t>
      </w:r>
      <w:proofErr w:type="gramEnd"/>
      <w:r w:rsidRPr="00FA737C">
        <w:rPr>
          <w:b/>
        </w:rPr>
        <w:t xml:space="preserve"> your proposed works </w:t>
      </w:r>
      <w:proofErr w:type="gramStart"/>
      <w:r w:rsidRPr="00FA737C">
        <w:rPr>
          <w:b/>
        </w:rPr>
        <w:t>deadline</w:t>
      </w:r>
      <w:proofErr w:type="gramEnd"/>
      <w:r w:rsidRPr="00FA737C">
        <w:rPr>
          <w:b/>
        </w:rPr>
        <w:t xml:space="preserve"> and this</w:t>
      </w:r>
      <w:r w:rsidR="00BE2A00" w:rsidRPr="00FA737C">
        <w:rPr>
          <w:b/>
        </w:rPr>
        <w:t xml:space="preserve"> is at the </w:t>
      </w:r>
      <w:r w:rsidRPr="00FA737C">
        <w:rPr>
          <w:b/>
        </w:rPr>
        <w:t>Operators risk.</w:t>
      </w:r>
    </w:p>
    <w:p w14:paraId="3539F6D4" w14:textId="77777777" w:rsidR="00B83B5D" w:rsidRPr="00FA737C" w:rsidRDefault="00B83B5D" w:rsidP="00B83B5D">
      <w:pPr>
        <w:pStyle w:val="ListParagraph"/>
        <w:ind w:left="360"/>
      </w:pPr>
    </w:p>
    <w:p w14:paraId="0BBEEB2D" w14:textId="439D8F8A" w:rsidR="00582871" w:rsidRPr="00FA737C" w:rsidRDefault="00457FAE" w:rsidP="00582871">
      <w:pPr>
        <w:pStyle w:val="Heading1"/>
        <w:spacing w:before="0" w:after="120"/>
        <w:contextualSpacing/>
        <w:rPr>
          <w:rFonts w:ascii="Arial" w:hAnsi="Arial" w:cs="Arial"/>
          <w:b w:val="0"/>
          <w:color w:val="auto"/>
          <w:u w:val="single"/>
        </w:rPr>
      </w:pPr>
      <w:r>
        <w:rPr>
          <w:rFonts w:ascii="Arial" w:hAnsi="Arial" w:cs="Arial"/>
          <w:b w:val="0"/>
          <w:color w:val="auto"/>
          <w:u w:val="single"/>
        </w:rPr>
        <w:t xml:space="preserve"> As Built Notifications</w:t>
      </w:r>
    </w:p>
    <w:p w14:paraId="24CE2763" w14:textId="6D422F13" w:rsidR="00457FAE" w:rsidRDefault="00457FAE" w:rsidP="00582871">
      <w:pPr>
        <w:pStyle w:val="ListParagraph"/>
        <w:numPr>
          <w:ilvl w:val="0"/>
          <w:numId w:val="11"/>
        </w:numPr>
      </w:pPr>
      <w:r>
        <w:t>On completion of the works</w:t>
      </w:r>
      <w:r w:rsidR="00651320">
        <w:t xml:space="preserve"> the Operator is required to report back to the NSTA on what works were/were not completed. For each application</w:t>
      </w:r>
      <w:r w:rsidR="006A0FE0">
        <w:t xml:space="preserve"> and pipeline within the application</w:t>
      </w:r>
      <w:r w:rsidR="00651320">
        <w:t xml:space="preserve"> the operator must complete the As built Notifications </w:t>
      </w:r>
      <w:r w:rsidR="006A0FE0">
        <w:t xml:space="preserve">to confirm whether the works carried out exactly as per consent or if works were not carried out exactly as per consent i.e. </w:t>
      </w:r>
      <w:r w:rsidR="00035B68">
        <w:t xml:space="preserve">the consent document states the pipeline will be disconnected at the Manifold </w:t>
      </w:r>
      <w:r w:rsidR="00E00769">
        <w:t xml:space="preserve">however, this could not be achieved and the line is still connected. </w:t>
      </w:r>
      <w:r w:rsidR="005409DE">
        <w:t xml:space="preserve">In this instance a new Cat 2 application type would need to be applied for to update the records </w:t>
      </w:r>
      <w:r w:rsidR="00D819A1">
        <w:t>and show the pipeline in its current state.</w:t>
      </w:r>
    </w:p>
    <w:p w14:paraId="021320B8" w14:textId="77777777" w:rsidR="000E2CB3" w:rsidRDefault="000E2CB3" w:rsidP="000E2CB3">
      <w:pPr>
        <w:pStyle w:val="ListParagraph"/>
        <w:ind w:left="360"/>
      </w:pPr>
    </w:p>
    <w:p w14:paraId="3650CDC1" w14:textId="33EFC9AD" w:rsidR="00582871" w:rsidRPr="00FA737C" w:rsidRDefault="00582871" w:rsidP="00582871">
      <w:pPr>
        <w:pStyle w:val="ListParagraph"/>
        <w:numPr>
          <w:ilvl w:val="0"/>
          <w:numId w:val="11"/>
        </w:numPr>
      </w:pPr>
    </w:p>
    <w:p w14:paraId="5D42E54F" w14:textId="77777777" w:rsidR="00E5636A" w:rsidRDefault="000D2178" w:rsidP="00E5636A">
      <w:pPr>
        <w:pStyle w:val="Heading1"/>
        <w:spacing w:before="0" w:after="120"/>
        <w:contextualSpacing/>
        <w:rPr>
          <w:rFonts w:ascii="Arial" w:hAnsi="Arial" w:cs="Arial"/>
          <w:b w:val="0"/>
          <w:bCs w:val="0"/>
          <w:color w:val="auto"/>
          <w:u w:val="single"/>
        </w:rPr>
      </w:pPr>
      <w:bookmarkStart w:id="12" w:name="_Toc464634979"/>
      <w:r w:rsidRPr="10F760BB">
        <w:rPr>
          <w:rFonts w:ascii="Arial" w:hAnsi="Arial" w:cs="Arial"/>
          <w:b w:val="0"/>
          <w:bCs w:val="0"/>
          <w:color w:val="auto"/>
          <w:u w:val="single"/>
        </w:rPr>
        <w:t>Disused Pipeline Notification (DPN)</w:t>
      </w:r>
      <w:bookmarkEnd w:id="12"/>
    </w:p>
    <w:p w14:paraId="16F2643C" w14:textId="77777777" w:rsidR="00E5636A" w:rsidRDefault="00E5636A" w:rsidP="00E5636A">
      <w:pPr>
        <w:pStyle w:val="Heading1"/>
        <w:spacing w:before="0" w:after="120"/>
        <w:contextualSpacing/>
        <w:rPr>
          <w:rFonts w:ascii="Arial" w:hAnsi="Arial" w:cs="Arial"/>
          <w:b w:val="0"/>
          <w:bCs w:val="0"/>
          <w:color w:val="auto"/>
          <w:u w:val="single"/>
        </w:rPr>
      </w:pPr>
    </w:p>
    <w:p w14:paraId="21CEC33E" w14:textId="6A63EFC6" w:rsidR="00D53A5A" w:rsidRPr="00E5636A" w:rsidRDefault="00D53A5A" w:rsidP="00E5636A">
      <w:pPr>
        <w:pStyle w:val="Heading1"/>
        <w:numPr>
          <w:ilvl w:val="0"/>
          <w:numId w:val="13"/>
        </w:numPr>
        <w:spacing w:before="0" w:after="120"/>
        <w:contextualSpacing/>
        <w:rPr>
          <w:rFonts w:ascii="Arial" w:hAnsi="Arial" w:cs="Arial"/>
          <w:b w:val="0"/>
          <w:bCs w:val="0"/>
          <w:color w:val="auto"/>
          <w:sz w:val="24"/>
          <w:szCs w:val="24"/>
          <w:u w:val="single"/>
        </w:rPr>
      </w:pPr>
      <w:r w:rsidRPr="00E5636A">
        <w:rPr>
          <w:rFonts w:ascii="Arial" w:hAnsi="Arial" w:cs="Arial"/>
          <w:b w:val="0"/>
          <w:bCs w:val="0"/>
          <w:color w:val="auto"/>
          <w:sz w:val="24"/>
          <w:szCs w:val="24"/>
          <w:lang w:val="en"/>
        </w:rPr>
        <w:t>A d</w:t>
      </w:r>
      <w:r w:rsidR="00070190" w:rsidRPr="00E5636A">
        <w:rPr>
          <w:rFonts w:ascii="Arial" w:hAnsi="Arial" w:cs="Arial"/>
          <w:b w:val="0"/>
          <w:bCs w:val="0"/>
          <w:color w:val="auto"/>
          <w:sz w:val="24"/>
          <w:szCs w:val="24"/>
          <w:lang w:val="en"/>
        </w:rPr>
        <w:t xml:space="preserve">isused pipeline notification </w:t>
      </w:r>
      <w:r w:rsidRPr="00E5636A">
        <w:rPr>
          <w:rFonts w:ascii="Arial" w:hAnsi="Arial" w:cs="Arial"/>
          <w:b w:val="0"/>
          <w:bCs w:val="0"/>
          <w:color w:val="auto"/>
          <w:sz w:val="24"/>
          <w:szCs w:val="24"/>
          <w:lang w:val="en"/>
        </w:rPr>
        <w:t>will</w:t>
      </w:r>
      <w:r w:rsidR="00BC781A" w:rsidRPr="00E5636A">
        <w:rPr>
          <w:rFonts w:ascii="Arial" w:hAnsi="Arial" w:cs="Arial"/>
          <w:b w:val="0"/>
          <w:bCs w:val="0"/>
          <w:color w:val="auto"/>
          <w:sz w:val="24"/>
          <w:szCs w:val="24"/>
          <w:lang w:val="en"/>
        </w:rPr>
        <w:t xml:space="preserve"> be requested by BEIS ODU </w:t>
      </w:r>
      <w:r w:rsidR="004E7263" w:rsidRPr="00E5636A">
        <w:rPr>
          <w:rFonts w:ascii="Arial" w:hAnsi="Arial" w:cs="Arial"/>
          <w:b w:val="0"/>
          <w:bCs w:val="0"/>
          <w:color w:val="auto"/>
          <w:sz w:val="24"/>
          <w:szCs w:val="24"/>
          <w:lang w:val="en"/>
        </w:rPr>
        <w:t xml:space="preserve">once the </w:t>
      </w:r>
      <w:r w:rsidR="00817F89" w:rsidRPr="00E5636A">
        <w:rPr>
          <w:rFonts w:ascii="Arial" w:hAnsi="Arial" w:cs="Arial"/>
          <w:b w:val="0"/>
          <w:bCs w:val="0"/>
          <w:color w:val="auto"/>
          <w:sz w:val="24"/>
          <w:szCs w:val="24"/>
          <w:lang w:val="en"/>
        </w:rPr>
        <w:t xml:space="preserve">NSTA </w:t>
      </w:r>
      <w:r w:rsidR="004E7263" w:rsidRPr="00E5636A">
        <w:rPr>
          <w:rFonts w:ascii="Arial" w:hAnsi="Arial" w:cs="Arial"/>
          <w:b w:val="0"/>
          <w:bCs w:val="0"/>
          <w:color w:val="auto"/>
          <w:sz w:val="24"/>
          <w:szCs w:val="24"/>
          <w:lang w:val="en"/>
        </w:rPr>
        <w:t xml:space="preserve">has issued the </w:t>
      </w:r>
      <w:r w:rsidRPr="00E5636A">
        <w:rPr>
          <w:rFonts w:ascii="Arial" w:hAnsi="Arial" w:cs="Arial"/>
          <w:b w:val="0"/>
          <w:bCs w:val="0"/>
          <w:color w:val="auto"/>
          <w:sz w:val="24"/>
          <w:szCs w:val="24"/>
          <w:lang w:val="en"/>
        </w:rPr>
        <w:t xml:space="preserve">necessary </w:t>
      </w:r>
      <w:r w:rsidR="004E7263" w:rsidRPr="00E5636A">
        <w:rPr>
          <w:rFonts w:ascii="Arial" w:hAnsi="Arial" w:cs="Arial"/>
          <w:b w:val="0"/>
          <w:bCs w:val="0"/>
          <w:color w:val="auto"/>
          <w:sz w:val="24"/>
          <w:szCs w:val="24"/>
          <w:lang w:val="en"/>
        </w:rPr>
        <w:t>legal consent documents. Noting is only the NSTA consent that allows you to alter/modify your pipelines.</w:t>
      </w:r>
    </w:p>
    <w:p w14:paraId="21D5F492" w14:textId="37D23955" w:rsidR="10F760BB" w:rsidRDefault="10F760BB" w:rsidP="10F760BB">
      <w:pPr>
        <w:contextualSpacing/>
        <w:rPr>
          <w:lang w:val="en"/>
        </w:rPr>
      </w:pPr>
    </w:p>
    <w:p w14:paraId="03964F69" w14:textId="7EA1583C" w:rsidR="00756E6C" w:rsidRPr="00FA737C" w:rsidRDefault="00070190" w:rsidP="00411C35">
      <w:pPr>
        <w:pStyle w:val="ListParagraph"/>
        <w:numPr>
          <w:ilvl w:val="0"/>
          <w:numId w:val="6"/>
        </w:numPr>
      </w:pPr>
      <w:r w:rsidRPr="00FA737C">
        <w:rPr>
          <w:lang w:val="en"/>
        </w:rPr>
        <w:t>The Interim Pipeline Regime is intended to ensure out of us</w:t>
      </w:r>
      <w:r w:rsidR="00817F89">
        <w:rPr>
          <w:lang w:val="en"/>
        </w:rPr>
        <w:t>e</w:t>
      </w:r>
      <w:r w:rsidRPr="00FA737C">
        <w:rPr>
          <w:lang w:val="en"/>
        </w:rPr>
        <w:t xml:space="preserve"> lines do not pose a risk to other users of the sea or the environment and that they are covered by an appropriate surveying and maintenance regime </w:t>
      </w:r>
      <w:r w:rsidRPr="00FA737C">
        <w:rPr>
          <w:b/>
          <w:lang w:val="en"/>
        </w:rPr>
        <w:t xml:space="preserve">from the point when they are taken out of use until approval of the formal decommissioning </w:t>
      </w:r>
      <w:r w:rsidR="00817F89">
        <w:rPr>
          <w:b/>
          <w:lang w:val="en"/>
        </w:rPr>
        <w:t xml:space="preserve">plan </w:t>
      </w:r>
      <w:r w:rsidRPr="00FA737C">
        <w:rPr>
          <w:lang w:val="en"/>
        </w:rPr>
        <w:t>(which is usually at the end of field life).</w:t>
      </w:r>
    </w:p>
    <w:p w14:paraId="0EAF1686" w14:textId="77777777" w:rsidR="00443AB9" w:rsidRPr="00FA737C" w:rsidRDefault="00443AB9" w:rsidP="00443AB9">
      <w:pPr>
        <w:pStyle w:val="ListParagraph"/>
      </w:pPr>
    </w:p>
    <w:p w14:paraId="5B7B7B2E" w14:textId="1A97D0D6" w:rsidR="00FA737C" w:rsidDel="00FF168F" w:rsidRDefault="00D53A5A" w:rsidP="00FA737C">
      <w:pPr>
        <w:pStyle w:val="ListParagraph"/>
        <w:numPr>
          <w:ilvl w:val="0"/>
          <w:numId w:val="6"/>
        </w:numPr>
      </w:pPr>
      <w:r w:rsidRPr="00FA737C">
        <w:t>The completed DPN form should be</w:t>
      </w:r>
      <w:r w:rsidR="00BB790F" w:rsidRPr="00FA737C">
        <w:t xml:space="preserve"> emailed to the nominated contact in BEIS ODU for review</w:t>
      </w:r>
      <w:r w:rsidR="00706FEE" w:rsidRPr="00FA737C">
        <w:t xml:space="preserve"> and approval</w:t>
      </w:r>
      <w:r w:rsidR="00BB790F" w:rsidRPr="00FA737C">
        <w:t>.</w:t>
      </w:r>
    </w:p>
    <w:p w14:paraId="3BD345FA" w14:textId="77777777" w:rsidR="00FA737C" w:rsidRPr="00FA737C" w:rsidDel="00FF168F" w:rsidRDefault="00FA737C" w:rsidP="00FA737C"/>
    <w:p w14:paraId="0D6208A0" w14:textId="3CB0AFFD" w:rsidR="004F05D7" w:rsidRPr="00FA737C" w:rsidRDefault="00485288" w:rsidP="00273486">
      <w:pPr>
        <w:pStyle w:val="ListParagraph"/>
        <w:ind w:left="0"/>
      </w:pPr>
      <w:r w:rsidRPr="00FA737C">
        <w:t xml:space="preserve">Please contact the </w:t>
      </w:r>
      <w:r w:rsidR="00817F89">
        <w:t>North Sea Transition</w:t>
      </w:r>
      <w:r w:rsidRPr="00FA737C">
        <w:t xml:space="preserve"> Authority </w:t>
      </w:r>
      <w:r w:rsidR="00FE0FEC" w:rsidRPr="00FA737C">
        <w:t>(</w:t>
      </w:r>
      <w:hyperlink r:id="rId26" w:history="1">
        <w:r w:rsidR="00817F89" w:rsidRPr="00D96724">
          <w:rPr>
            <w:rStyle w:val="Hyperlink"/>
          </w:rPr>
          <w:t>consents@nstauthority.co.uk</w:t>
        </w:r>
      </w:hyperlink>
      <w:r w:rsidR="00FE0FEC" w:rsidRPr="00FA737C">
        <w:t xml:space="preserve">) </w:t>
      </w:r>
      <w:r w:rsidRPr="00FA737C">
        <w:t>regarding a</w:t>
      </w:r>
      <w:r w:rsidR="00273486" w:rsidRPr="00FA737C">
        <w:t>ny enquires</w:t>
      </w:r>
      <w:r w:rsidRPr="00FA737C">
        <w:t xml:space="preserve"> or amendments to </w:t>
      </w:r>
      <w:r w:rsidR="00273486" w:rsidRPr="00FA737C">
        <w:t>the Decommissioning Variation Adv</w:t>
      </w:r>
      <w:r w:rsidRPr="00FA737C">
        <w:t>ice to Industry document.</w:t>
      </w:r>
    </w:p>
    <w:p w14:paraId="04F18BCA" w14:textId="77777777" w:rsidR="00F949C9" w:rsidRPr="00FA737C" w:rsidRDefault="00F949C9" w:rsidP="00273486">
      <w:pPr>
        <w:pStyle w:val="ListParagraph"/>
        <w:ind w:left="0"/>
      </w:pPr>
    </w:p>
    <w:p w14:paraId="418C778F" w14:textId="77777777" w:rsidR="00F949C9" w:rsidRPr="00FA737C" w:rsidRDefault="00F949C9" w:rsidP="00273486">
      <w:pPr>
        <w:pStyle w:val="ListParagraph"/>
        <w:ind w:left="0"/>
      </w:pPr>
    </w:p>
    <w:p w14:paraId="44D3851C" w14:textId="77777777" w:rsidR="00F949C9" w:rsidRPr="00FA737C" w:rsidRDefault="00F949C9" w:rsidP="00273486">
      <w:pPr>
        <w:pStyle w:val="ListParagraph"/>
        <w:ind w:left="0"/>
      </w:pPr>
    </w:p>
    <w:p w14:paraId="01A66D0D" w14:textId="77777777" w:rsidR="00F949C9" w:rsidRPr="00FA737C" w:rsidRDefault="00F949C9" w:rsidP="00273486">
      <w:pPr>
        <w:pStyle w:val="ListParagraph"/>
        <w:ind w:left="0"/>
      </w:pPr>
    </w:p>
    <w:p w14:paraId="68B23215" w14:textId="77777777" w:rsidR="00F949C9" w:rsidRPr="00FA737C" w:rsidRDefault="00F949C9" w:rsidP="00273486">
      <w:pPr>
        <w:pStyle w:val="ListParagraph"/>
        <w:ind w:left="0"/>
      </w:pPr>
    </w:p>
    <w:p w14:paraId="17384FD6" w14:textId="77777777" w:rsidR="00F949C9" w:rsidRPr="00FA737C" w:rsidRDefault="00F949C9" w:rsidP="00273486">
      <w:pPr>
        <w:pStyle w:val="ListParagraph"/>
        <w:ind w:left="0"/>
      </w:pPr>
    </w:p>
    <w:p w14:paraId="665B7B83" w14:textId="77777777" w:rsidR="00F949C9" w:rsidRPr="00FA737C" w:rsidRDefault="00F949C9" w:rsidP="00273486">
      <w:pPr>
        <w:pStyle w:val="ListParagraph"/>
        <w:ind w:left="0"/>
      </w:pPr>
    </w:p>
    <w:p w14:paraId="2D07F1A0" w14:textId="7152885D" w:rsidR="00FA737C" w:rsidRDefault="00FA737C" w:rsidP="00273486">
      <w:pPr>
        <w:pStyle w:val="ListParagraph"/>
        <w:ind w:left="0"/>
      </w:pPr>
    </w:p>
    <w:p w14:paraId="1E3EE146" w14:textId="60AAD546" w:rsidR="00FA737C" w:rsidRDefault="00FA737C" w:rsidP="00273486">
      <w:pPr>
        <w:pStyle w:val="ListParagraph"/>
        <w:ind w:left="0"/>
      </w:pPr>
    </w:p>
    <w:p w14:paraId="60141BDB" w14:textId="70905B98" w:rsidR="00FA737C" w:rsidRDefault="00FA737C" w:rsidP="00273486">
      <w:pPr>
        <w:pStyle w:val="ListParagraph"/>
        <w:ind w:left="0"/>
      </w:pPr>
    </w:p>
    <w:p w14:paraId="6D16D718" w14:textId="59447159" w:rsidR="00FA737C" w:rsidRDefault="00FA737C" w:rsidP="00273486">
      <w:pPr>
        <w:pStyle w:val="ListParagraph"/>
        <w:ind w:left="0"/>
      </w:pPr>
    </w:p>
    <w:p w14:paraId="66E9EB8D" w14:textId="238E9502" w:rsidR="00FA737C" w:rsidRPr="00FA737C" w:rsidRDefault="00FA737C" w:rsidP="00273486">
      <w:pPr>
        <w:pStyle w:val="ListParagraph"/>
        <w:ind w:left="0"/>
      </w:pPr>
    </w:p>
    <w:p w14:paraId="050500A8" w14:textId="66327BA2" w:rsidR="00F949C9" w:rsidRPr="00FA737C" w:rsidRDefault="00F5004B" w:rsidP="00273486">
      <w:pPr>
        <w:pStyle w:val="ListParagraph"/>
        <w:ind w:left="0"/>
      </w:pPr>
      <w:r w:rsidRPr="00F5004B">
        <w:rPr>
          <w:noProof/>
        </w:rPr>
        <w:drawing>
          <wp:inline distT="0" distB="0" distL="0" distR="0" wp14:anchorId="39BDD250" wp14:editId="2D2E6899">
            <wp:extent cx="2101850" cy="340916"/>
            <wp:effectExtent l="0" t="0" r="0" b="2540"/>
            <wp:docPr id="2" name="Picture 2" descr="NS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TA logo"/>
                    <pic:cNvPicPr/>
                  </pic:nvPicPr>
                  <pic:blipFill>
                    <a:blip r:embed="rId27"/>
                    <a:stretch>
                      <a:fillRect/>
                    </a:stretch>
                  </pic:blipFill>
                  <pic:spPr>
                    <a:xfrm>
                      <a:off x="0" y="0"/>
                      <a:ext cx="2139081" cy="346955"/>
                    </a:xfrm>
                    <a:prstGeom prst="rect">
                      <a:avLst/>
                    </a:prstGeom>
                  </pic:spPr>
                </pic:pic>
              </a:graphicData>
            </a:graphic>
          </wp:inline>
        </w:drawing>
      </w:r>
    </w:p>
    <w:p w14:paraId="2BF6E0BC" w14:textId="77777777" w:rsidR="00F949C9" w:rsidRPr="00FA737C" w:rsidRDefault="00822719" w:rsidP="00F949C9">
      <w:pPr>
        <w:pStyle w:val="ListParagraph"/>
        <w:ind w:left="0"/>
      </w:pPr>
      <w:r w:rsidRPr="00FA737C">
        <w:rPr>
          <w:noProof/>
          <w:lang w:eastAsia="en-GB"/>
        </w:rPr>
        <mc:AlternateContent>
          <mc:Choice Requires="wps">
            <w:drawing>
              <wp:anchor distT="0" distB="0" distL="114300" distR="114300" simplePos="0" relativeHeight="251658241" behindDoc="0" locked="0" layoutInCell="1" allowOverlap="1" wp14:anchorId="2299FC55" wp14:editId="40C5A4FF">
                <wp:simplePos x="0" y="0"/>
                <wp:positionH relativeFrom="column">
                  <wp:posOffset>3937000</wp:posOffset>
                </wp:positionH>
                <wp:positionV relativeFrom="paragraph">
                  <wp:posOffset>528320</wp:posOffset>
                </wp:positionV>
                <wp:extent cx="1987550" cy="285750"/>
                <wp:effectExtent l="0" t="0" r="0" b="0"/>
                <wp:wrapNone/>
                <wp:docPr id="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85750"/>
                        </a:xfrm>
                        <a:prstGeom prst="rect">
                          <a:avLst/>
                        </a:prstGeom>
                        <a:solidFill>
                          <a:srgbClr val="FFFFFF"/>
                        </a:solidFill>
                        <a:ln w="9525">
                          <a:noFill/>
                          <a:miter lim="800000"/>
                          <a:headEnd/>
                          <a:tailEnd/>
                        </a:ln>
                      </wps:spPr>
                      <wps:txbx>
                        <w:txbxContent>
                          <w:p w14:paraId="09C4A419" w14:textId="451BE7C4" w:rsidR="000417E8" w:rsidRPr="007801FD" w:rsidRDefault="001722E0">
                            <w:pPr>
                              <w:rPr>
                                <w:b/>
                                <w:color w:val="00B0F0"/>
                              </w:rPr>
                            </w:pPr>
                            <w:hyperlink r:id="rId28" w:history="1">
                              <w:r w:rsidRPr="00C171C7">
                                <w:rPr>
                                  <w:rStyle w:val="Hyperlink"/>
                                  <w:rFonts w:cs="Helvetica 65 Medium"/>
                                  <w:b/>
                                </w:rPr>
                                <w:t>www.nstauthority.co.uk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9FC55" id="_x0000_t202" coordsize="21600,21600" o:spt="202" path="m,l,21600r21600,l21600,xe">
                <v:stroke joinstyle="miter"/>
                <v:path gradientshapeok="t" o:connecttype="rect"/>
              </v:shapetype>
              <v:shape id="Text Box 2" o:spid="_x0000_s1026" type="#_x0000_t202" alt="&quot;&quot;" style="position:absolute;left:0;text-align:left;margin-left:310pt;margin-top:41.6pt;width:156.5pt;height:2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" stroked="f">
                <v:textbox>
                  <w:txbxContent>
                    <w:p w14:paraId="09C4A419" w14:textId="451BE7C4" w:rsidR="000417E8" w:rsidRPr="007801FD" w:rsidRDefault="001722E0">
                      <w:pPr>
                        <w:rPr>
                          <w:b/>
                          <w:color w:val="00B0F0"/>
                        </w:rPr>
                      </w:pPr>
                      <w:hyperlink r:id="rId29" w:history="1">
                        <w:r w:rsidRPr="00C171C7">
                          <w:rPr>
                            <w:rStyle w:val="Hyperlink"/>
                            <w:rFonts w:cs="Helvetica 65 Medium"/>
                            <w:b/>
                          </w:rPr>
                          <w:t>www.nstauthority.co.uk</w:t>
                        </w:r>
                      </w:hyperlink>
                    </w:p>
                  </w:txbxContent>
                </v:textbox>
              </v:shape>
            </w:pict>
          </mc:Fallback>
        </mc:AlternateContent>
      </w:r>
      <w:r w:rsidR="00432785" w:rsidRPr="00FA737C">
        <w:rPr>
          <w:rStyle w:val="A3"/>
          <w:rFonts w:cs="Arial"/>
          <w:noProof/>
          <w:lang w:eastAsia="en-GB"/>
        </w:rPr>
        <mc:AlternateContent>
          <mc:Choice Requires="wps">
            <w:drawing>
              <wp:anchor distT="0" distB="0" distL="114300" distR="114300" simplePos="0" relativeHeight="251658240" behindDoc="0" locked="0" layoutInCell="1" allowOverlap="1" wp14:anchorId="1AB6C088" wp14:editId="285FE43C">
                <wp:simplePos x="0" y="0"/>
                <wp:positionH relativeFrom="column">
                  <wp:posOffset>-85726</wp:posOffset>
                </wp:positionH>
                <wp:positionV relativeFrom="paragraph">
                  <wp:posOffset>114935</wp:posOffset>
                </wp:positionV>
                <wp:extent cx="4067175" cy="1403985"/>
                <wp:effectExtent l="0" t="0" r="9525"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403985"/>
                        </a:xfrm>
                        <a:prstGeom prst="rect">
                          <a:avLst/>
                        </a:prstGeom>
                        <a:solidFill>
                          <a:srgbClr val="FFFFFF"/>
                        </a:solidFill>
                        <a:ln w="9525">
                          <a:noFill/>
                          <a:miter lim="800000"/>
                          <a:headEnd/>
                          <a:tailEnd/>
                        </a:ln>
                      </wps:spPr>
                      <wps:txbx>
                        <w:txbxContent>
                          <w:p w14:paraId="14BCF66B" w14:textId="7CB434F0" w:rsidR="00F949C9" w:rsidRPr="00F949C9" w:rsidRDefault="00F949C9" w:rsidP="00F949C9">
                            <w:pPr>
                              <w:pStyle w:val="Default"/>
                              <w:spacing w:after="160" w:line="221" w:lineRule="atLeast"/>
                              <w:rPr>
                                <w:rFonts w:ascii="Arial" w:hAnsi="Arial" w:cs="Arial"/>
                                <w:sz w:val="16"/>
                                <w:szCs w:val="16"/>
                              </w:rPr>
                            </w:pPr>
                            <w:r w:rsidRPr="00F949C9">
                              <w:rPr>
                                <w:rStyle w:val="A3"/>
                                <w:rFonts w:ascii="Arial" w:hAnsi="Arial" w:cs="Arial"/>
                              </w:rPr>
                              <w:t>Copyri</w:t>
                            </w:r>
                            <w:r w:rsidR="00441583">
                              <w:rPr>
                                <w:rStyle w:val="A3"/>
                                <w:rFonts w:ascii="Arial" w:hAnsi="Arial" w:cs="Arial"/>
                              </w:rPr>
                              <w:t>ght © Oil and Gas Authority 20</w:t>
                            </w:r>
                            <w:r w:rsidR="00946307">
                              <w:rPr>
                                <w:rStyle w:val="A3"/>
                                <w:rFonts w:ascii="Arial" w:hAnsi="Arial" w:cs="Arial"/>
                              </w:rPr>
                              <w:t>22</w:t>
                            </w:r>
                          </w:p>
                          <w:p w14:paraId="30462596" w14:textId="7439A241" w:rsidR="00F949C9" w:rsidRDefault="00F949C9" w:rsidP="00F949C9">
                            <w:pPr>
                              <w:rPr>
                                <w:rStyle w:val="A8"/>
                                <w:rFonts w:ascii="Arial" w:hAnsi="Arial" w:cs="Arial"/>
                                <w:sz w:val="16"/>
                                <w:szCs w:val="16"/>
                              </w:rPr>
                            </w:pPr>
                            <w:r w:rsidRPr="00F949C9">
                              <w:rPr>
                                <w:rStyle w:val="A8"/>
                                <w:rFonts w:ascii="Arial" w:hAnsi="Arial" w:cs="Arial"/>
                                <w:sz w:val="16"/>
                                <w:szCs w:val="16"/>
                              </w:rPr>
                              <w:t xml:space="preserve">Oil and Gas Authority is a limited company registered in England and Wales with registered number 09666504 and VAT registered number 249433979. Our registered office is at </w:t>
                            </w:r>
                            <w:r w:rsidR="00597F44">
                              <w:rPr>
                                <w:rStyle w:val="A8"/>
                                <w:rFonts w:ascii="Arial" w:hAnsi="Arial" w:cs="Arial"/>
                                <w:sz w:val="16"/>
                                <w:szCs w:val="16"/>
                              </w:rPr>
                              <w:t>Sanctuary Buildings</w:t>
                            </w:r>
                            <w:r w:rsidR="00F707A4">
                              <w:rPr>
                                <w:rStyle w:val="A8"/>
                                <w:rFonts w:ascii="Arial" w:hAnsi="Arial" w:cs="Arial"/>
                                <w:sz w:val="16"/>
                                <w:szCs w:val="16"/>
                              </w:rPr>
                              <w:t xml:space="preserve">, 20 Great Smith Street, </w:t>
                            </w:r>
                            <w:r w:rsidRPr="00F949C9">
                              <w:rPr>
                                <w:rStyle w:val="A8"/>
                                <w:rFonts w:ascii="Arial" w:hAnsi="Arial" w:cs="Arial"/>
                                <w:sz w:val="16"/>
                                <w:szCs w:val="16"/>
                              </w:rPr>
                              <w:t xml:space="preserve">London, United Kingdom, </w:t>
                            </w:r>
                            <w:r w:rsidR="00F707A4">
                              <w:rPr>
                                <w:rStyle w:val="A8"/>
                                <w:rFonts w:ascii="Arial" w:hAnsi="Arial" w:cs="Arial"/>
                                <w:sz w:val="16"/>
                                <w:szCs w:val="16"/>
                              </w:rPr>
                              <w:t>SW1P 3BT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B6C088" id="_x0000_s1027" type="#_x0000_t202" alt="&quot;&quot;" style="position:absolute;left:0;text-align:left;margin-left:-6.75pt;margin-top:9.05pt;width:320.2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" stroked="f">
                <v:textbox style="mso-fit-shape-to-text:t">
                  <w:txbxContent>
                    <w:p w14:paraId="14BCF66B" w14:textId="7CB434F0" w:rsidR="00F949C9" w:rsidRPr="00F949C9" w:rsidRDefault="00F949C9" w:rsidP="00F949C9">
                      <w:pPr>
                        <w:pStyle w:val="Default"/>
                        <w:spacing w:after="160" w:line="221" w:lineRule="atLeast"/>
                        <w:rPr>
                          <w:rFonts w:ascii="Arial" w:hAnsi="Arial" w:cs="Arial"/>
                          <w:sz w:val="16"/>
                          <w:szCs w:val="16"/>
                        </w:rPr>
                      </w:pPr>
                      <w:r w:rsidRPr="00F949C9">
                        <w:rPr>
                          <w:rStyle w:val="A3"/>
                          <w:rFonts w:ascii="Arial" w:hAnsi="Arial" w:cs="Arial"/>
                        </w:rPr>
                        <w:t>Copyri</w:t>
                      </w:r>
                      <w:r w:rsidR="00441583">
                        <w:rPr>
                          <w:rStyle w:val="A3"/>
                          <w:rFonts w:ascii="Arial" w:hAnsi="Arial" w:cs="Arial"/>
                        </w:rPr>
                        <w:t>ght © Oil and Gas Authority 20</w:t>
                      </w:r>
                      <w:r w:rsidR="00946307">
                        <w:rPr>
                          <w:rStyle w:val="A3"/>
                          <w:rFonts w:ascii="Arial" w:hAnsi="Arial" w:cs="Arial"/>
                        </w:rPr>
                        <w:t>22</w:t>
                      </w:r>
                    </w:p>
                    <w:p w14:paraId="30462596" w14:textId="7439A241" w:rsidR="00F949C9" w:rsidRDefault="00F949C9" w:rsidP="00F949C9">
                      <w:pPr>
                        <w:rPr>
                          <w:rStyle w:val="A8"/>
                          <w:rFonts w:ascii="Arial" w:hAnsi="Arial" w:cs="Arial"/>
                          <w:sz w:val="16"/>
                          <w:szCs w:val="16"/>
                        </w:rPr>
                      </w:pPr>
                      <w:r w:rsidRPr="00F949C9">
                        <w:rPr>
                          <w:rStyle w:val="A8"/>
                          <w:rFonts w:ascii="Arial" w:hAnsi="Arial" w:cs="Arial"/>
                          <w:sz w:val="16"/>
                          <w:szCs w:val="16"/>
                        </w:rPr>
                        <w:t xml:space="preserve">Oil and Gas Authority is a limited company registered in England and Wales with registered number 09666504 and VAT registered number 249433979. Our registered office is at </w:t>
                      </w:r>
                      <w:r w:rsidR="00597F44">
                        <w:rPr>
                          <w:rStyle w:val="A8"/>
                          <w:rFonts w:ascii="Arial" w:hAnsi="Arial" w:cs="Arial"/>
                          <w:sz w:val="16"/>
                          <w:szCs w:val="16"/>
                        </w:rPr>
                        <w:t>Sanctuary Buildings</w:t>
                      </w:r>
                      <w:r w:rsidR="00F707A4">
                        <w:rPr>
                          <w:rStyle w:val="A8"/>
                          <w:rFonts w:ascii="Arial" w:hAnsi="Arial" w:cs="Arial"/>
                          <w:sz w:val="16"/>
                          <w:szCs w:val="16"/>
                        </w:rPr>
                        <w:t xml:space="preserve">, 20 Great Smith Street, </w:t>
                      </w:r>
                      <w:r w:rsidRPr="00F949C9">
                        <w:rPr>
                          <w:rStyle w:val="A8"/>
                          <w:rFonts w:ascii="Arial" w:hAnsi="Arial" w:cs="Arial"/>
                          <w:sz w:val="16"/>
                          <w:szCs w:val="16"/>
                        </w:rPr>
                        <w:t xml:space="preserve">London, United Kingdom, </w:t>
                      </w:r>
                      <w:r w:rsidR="00F707A4">
                        <w:rPr>
                          <w:rStyle w:val="A8"/>
                          <w:rFonts w:ascii="Arial" w:hAnsi="Arial" w:cs="Arial"/>
                          <w:sz w:val="16"/>
                          <w:szCs w:val="16"/>
                        </w:rPr>
                        <w:t>SW1P 3BT</w:t>
                      </w:r>
                    </w:p>
                  </w:txbxContent>
                </v:textbox>
              </v:shape>
            </w:pict>
          </mc:Fallback>
        </mc:AlternateContent>
      </w:r>
    </w:p>
    <w:sectPr w:rsidR="00F949C9" w:rsidRPr="00FA737C" w:rsidSect="008A7606">
      <w:footerReference w:type="first" r:id="rId3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F4C4" w14:textId="77777777" w:rsidR="003E72DE" w:rsidRDefault="003E72DE" w:rsidP="002622F1">
      <w:pPr>
        <w:spacing w:after="0"/>
      </w:pPr>
      <w:r>
        <w:separator/>
      </w:r>
    </w:p>
  </w:endnote>
  <w:endnote w:type="continuationSeparator" w:id="0">
    <w:p w14:paraId="16E592FB" w14:textId="77777777" w:rsidR="003E72DE" w:rsidRDefault="003E72DE" w:rsidP="002622F1">
      <w:pPr>
        <w:spacing w:after="0"/>
      </w:pPr>
      <w:r>
        <w:continuationSeparator/>
      </w:r>
    </w:p>
  </w:endnote>
  <w:endnote w:type="continuationNotice" w:id="1">
    <w:p w14:paraId="580C45F0" w14:textId="77777777" w:rsidR="003E72DE" w:rsidRDefault="003E72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JSLRP+HelveticaNeue">
    <w:altName w:val="Calibri"/>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0DBA" w14:textId="77777777" w:rsidR="00441583" w:rsidRDefault="00441583" w:rsidP="00441583">
    <w:pPr>
      <w:pStyle w:val="Footer"/>
      <w:jc w:val="center"/>
      <w:rPr>
        <w:rFonts w:ascii="Franklin Gothic Book" w:hAnsi="Franklin Gothic Book"/>
        <w:caps/>
        <w:sz w:val="20"/>
      </w:rPr>
    </w:pPr>
  </w:p>
  <w:p w14:paraId="15EE6E24" w14:textId="77777777" w:rsidR="00441583" w:rsidRPr="00441583" w:rsidRDefault="00441583" w:rsidP="00441583">
    <w:pPr>
      <w:pStyle w:val="Footer"/>
      <w:jc w:val="center"/>
      <w:rPr>
        <w:rFonts w:ascii="Franklin Gothic Book" w:hAnsi="Franklin Gothic Book"/>
        <w:cap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3950" w14:textId="77777777" w:rsidR="003E72DE" w:rsidRDefault="003E72DE" w:rsidP="002622F1">
      <w:pPr>
        <w:spacing w:after="0"/>
      </w:pPr>
      <w:r>
        <w:separator/>
      </w:r>
    </w:p>
  </w:footnote>
  <w:footnote w:type="continuationSeparator" w:id="0">
    <w:p w14:paraId="4AAFD7E7" w14:textId="77777777" w:rsidR="003E72DE" w:rsidRDefault="003E72DE" w:rsidP="002622F1">
      <w:pPr>
        <w:spacing w:after="0"/>
      </w:pPr>
      <w:r>
        <w:continuationSeparator/>
      </w:r>
    </w:p>
  </w:footnote>
  <w:footnote w:type="continuationNotice" w:id="1">
    <w:p w14:paraId="6760FCB0" w14:textId="77777777" w:rsidR="003E72DE" w:rsidRDefault="003E72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46929"/>
    <w:multiLevelType w:val="hybridMultilevel"/>
    <w:tmpl w:val="55449F9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DC17D5"/>
    <w:multiLevelType w:val="hybridMultilevel"/>
    <w:tmpl w:val="F2DA1C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C79C4"/>
    <w:multiLevelType w:val="hybridMultilevel"/>
    <w:tmpl w:val="287EB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9D5884"/>
    <w:multiLevelType w:val="hybridMultilevel"/>
    <w:tmpl w:val="317CF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02D19"/>
    <w:multiLevelType w:val="multilevel"/>
    <w:tmpl w:val="99CEF08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43E6020"/>
    <w:multiLevelType w:val="hybridMultilevel"/>
    <w:tmpl w:val="EC32DE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5B731E"/>
    <w:multiLevelType w:val="hybridMultilevel"/>
    <w:tmpl w:val="639CB7A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1457C"/>
    <w:multiLevelType w:val="hybridMultilevel"/>
    <w:tmpl w:val="C552915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2A07AD"/>
    <w:multiLevelType w:val="multilevel"/>
    <w:tmpl w:val="618E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791F9F"/>
    <w:multiLevelType w:val="hybridMultilevel"/>
    <w:tmpl w:val="9A948D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485736"/>
    <w:multiLevelType w:val="hybridMultilevel"/>
    <w:tmpl w:val="C0423BFA"/>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DF242D"/>
    <w:multiLevelType w:val="hybridMultilevel"/>
    <w:tmpl w:val="36E08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556FAB"/>
    <w:multiLevelType w:val="hybridMultilevel"/>
    <w:tmpl w:val="6C2081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2991101">
    <w:abstractNumId w:val="2"/>
  </w:num>
  <w:num w:numId="2" w16cid:durableId="2073313562">
    <w:abstractNumId w:val="9"/>
  </w:num>
  <w:num w:numId="3" w16cid:durableId="1620724026">
    <w:abstractNumId w:val="10"/>
  </w:num>
  <w:num w:numId="4" w16cid:durableId="1035733161">
    <w:abstractNumId w:val="5"/>
  </w:num>
  <w:num w:numId="5" w16cid:durableId="321668530">
    <w:abstractNumId w:val="7"/>
  </w:num>
  <w:num w:numId="6" w16cid:durableId="481851833">
    <w:abstractNumId w:val="6"/>
  </w:num>
  <w:num w:numId="7" w16cid:durableId="605846500">
    <w:abstractNumId w:val="12"/>
  </w:num>
  <w:num w:numId="8" w16cid:durableId="1875263792">
    <w:abstractNumId w:val="8"/>
  </w:num>
  <w:num w:numId="9" w16cid:durableId="48770355">
    <w:abstractNumId w:val="4"/>
  </w:num>
  <w:num w:numId="10" w16cid:durableId="626006833">
    <w:abstractNumId w:val="11"/>
  </w:num>
  <w:num w:numId="11" w16cid:durableId="1611081268">
    <w:abstractNumId w:val="0"/>
  </w:num>
  <w:num w:numId="12" w16cid:durableId="898126314">
    <w:abstractNumId w:val="1"/>
  </w:num>
  <w:num w:numId="13" w16cid:durableId="1938054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23"/>
    <w:rsid w:val="00014885"/>
    <w:rsid w:val="00023120"/>
    <w:rsid w:val="00033BEF"/>
    <w:rsid w:val="00035B68"/>
    <w:rsid w:val="00040EFA"/>
    <w:rsid w:val="000417E8"/>
    <w:rsid w:val="00041810"/>
    <w:rsid w:val="00041E36"/>
    <w:rsid w:val="00042D5B"/>
    <w:rsid w:val="00065929"/>
    <w:rsid w:val="000662A5"/>
    <w:rsid w:val="00070190"/>
    <w:rsid w:val="00074E81"/>
    <w:rsid w:val="0007506B"/>
    <w:rsid w:val="0007749E"/>
    <w:rsid w:val="000A3ADC"/>
    <w:rsid w:val="000B4C40"/>
    <w:rsid w:val="000D2178"/>
    <w:rsid w:val="000E2CB3"/>
    <w:rsid w:val="00102FC4"/>
    <w:rsid w:val="0010364C"/>
    <w:rsid w:val="00105D9D"/>
    <w:rsid w:val="0012389E"/>
    <w:rsid w:val="00131AD1"/>
    <w:rsid w:val="00134690"/>
    <w:rsid w:val="00152F4D"/>
    <w:rsid w:val="00154154"/>
    <w:rsid w:val="00156D96"/>
    <w:rsid w:val="001722E0"/>
    <w:rsid w:val="001740DE"/>
    <w:rsid w:val="0018259D"/>
    <w:rsid w:val="00184AAC"/>
    <w:rsid w:val="001916CE"/>
    <w:rsid w:val="00191D6B"/>
    <w:rsid w:val="001A04DD"/>
    <w:rsid w:val="001A05EC"/>
    <w:rsid w:val="001A0B55"/>
    <w:rsid w:val="001A1203"/>
    <w:rsid w:val="001A796C"/>
    <w:rsid w:val="001C3F27"/>
    <w:rsid w:val="001C65B6"/>
    <w:rsid w:val="001E6B9E"/>
    <w:rsid w:val="001F051A"/>
    <w:rsid w:val="001F566A"/>
    <w:rsid w:val="00213EE9"/>
    <w:rsid w:val="00220B22"/>
    <w:rsid w:val="0023342C"/>
    <w:rsid w:val="002427F5"/>
    <w:rsid w:val="002622F1"/>
    <w:rsid w:val="00272E36"/>
    <w:rsid w:val="00273486"/>
    <w:rsid w:val="00294263"/>
    <w:rsid w:val="002C12E6"/>
    <w:rsid w:val="002E0206"/>
    <w:rsid w:val="002F48EB"/>
    <w:rsid w:val="00302016"/>
    <w:rsid w:val="0030395F"/>
    <w:rsid w:val="003102AE"/>
    <w:rsid w:val="003141BF"/>
    <w:rsid w:val="0031731B"/>
    <w:rsid w:val="003210F4"/>
    <w:rsid w:val="00321693"/>
    <w:rsid w:val="003266F0"/>
    <w:rsid w:val="00332B5C"/>
    <w:rsid w:val="00337DE9"/>
    <w:rsid w:val="0034539C"/>
    <w:rsid w:val="003562B0"/>
    <w:rsid w:val="0035672B"/>
    <w:rsid w:val="00362983"/>
    <w:rsid w:val="00366F2D"/>
    <w:rsid w:val="0037252E"/>
    <w:rsid w:val="0037432B"/>
    <w:rsid w:val="00374FF8"/>
    <w:rsid w:val="003A10E5"/>
    <w:rsid w:val="003B3255"/>
    <w:rsid w:val="003B3401"/>
    <w:rsid w:val="003B70F2"/>
    <w:rsid w:val="003C502E"/>
    <w:rsid w:val="003D22AC"/>
    <w:rsid w:val="003D55EF"/>
    <w:rsid w:val="003E07D7"/>
    <w:rsid w:val="003E4EE9"/>
    <w:rsid w:val="003E72DE"/>
    <w:rsid w:val="003F1A67"/>
    <w:rsid w:val="003F3D28"/>
    <w:rsid w:val="003F73E1"/>
    <w:rsid w:val="00403D48"/>
    <w:rsid w:val="00405A36"/>
    <w:rsid w:val="00411C35"/>
    <w:rsid w:val="0041206E"/>
    <w:rsid w:val="004154A0"/>
    <w:rsid w:val="0042511D"/>
    <w:rsid w:val="00432785"/>
    <w:rsid w:val="00441583"/>
    <w:rsid w:val="00442F89"/>
    <w:rsid w:val="00443AB9"/>
    <w:rsid w:val="0045734B"/>
    <w:rsid w:val="00457FAE"/>
    <w:rsid w:val="00461D97"/>
    <w:rsid w:val="004664A8"/>
    <w:rsid w:val="00466EB6"/>
    <w:rsid w:val="00485288"/>
    <w:rsid w:val="0049098E"/>
    <w:rsid w:val="00491035"/>
    <w:rsid w:val="004A2AAA"/>
    <w:rsid w:val="004A70D8"/>
    <w:rsid w:val="004B0838"/>
    <w:rsid w:val="004C1536"/>
    <w:rsid w:val="004C5ADD"/>
    <w:rsid w:val="004C5BDA"/>
    <w:rsid w:val="004D5B53"/>
    <w:rsid w:val="004E7263"/>
    <w:rsid w:val="004F05D7"/>
    <w:rsid w:val="00502235"/>
    <w:rsid w:val="00526EAD"/>
    <w:rsid w:val="005320D0"/>
    <w:rsid w:val="00532318"/>
    <w:rsid w:val="005409DE"/>
    <w:rsid w:val="005450D6"/>
    <w:rsid w:val="00560D36"/>
    <w:rsid w:val="0056175D"/>
    <w:rsid w:val="0056542E"/>
    <w:rsid w:val="005654DD"/>
    <w:rsid w:val="00572D5A"/>
    <w:rsid w:val="00574EDA"/>
    <w:rsid w:val="00582871"/>
    <w:rsid w:val="00582AF6"/>
    <w:rsid w:val="00595768"/>
    <w:rsid w:val="00597F44"/>
    <w:rsid w:val="005A3723"/>
    <w:rsid w:val="005B246E"/>
    <w:rsid w:val="005B5EEE"/>
    <w:rsid w:val="005C09A1"/>
    <w:rsid w:val="005C17A5"/>
    <w:rsid w:val="005E58A7"/>
    <w:rsid w:val="005F4094"/>
    <w:rsid w:val="00603A81"/>
    <w:rsid w:val="00623CB4"/>
    <w:rsid w:val="00624CCF"/>
    <w:rsid w:val="00630DFD"/>
    <w:rsid w:val="0063135E"/>
    <w:rsid w:val="006331D8"/>
    <w:rsid w:val="00636F70"/>
    <w:rsid w:val="00637EA2"/>
    <w:rsid w:val="00640819"/>
    <w:rsid w:val="00651320"/>
    <w:rsid w:val="00652286"/>
    <w:rsid w:val="00676C6A"/>
    <w:rsid w:val="00695574"/>
    <w:rsid w:val="006A0FE0"/>
    <w:rsid w:val="006B2BEA"/>
    <w:rsid w:val="006C1389"/>
    <w:rsid w:val="006D23E7"/>
    <w:rsid w:val="006E7A91"/>
    <w:rsid w:val="006F5FC2"/>
    <w:rsid w:val="007050E8"/>
    <w:rsid w:val="00706FEE"/>
    <w:rsid w:val="007443F8"/>
    <w:rsid w:val="00756E6C"/>
    <w:rsid w:val="007646FC"/>
    <w:rsid w:val="00777DF9"/>
    <w:rsid w:val="007801FD"/>
    <w:rsid w:val="00781194"/>
    <w:rsid w:val="0079104B"/>
    <w:rsid w:val="007B7061"/>
    <w:rsid w:val="007B72BF"/>
    <w:rsid w:val="007C4B94"/>
    <w:rsid w:val="007D53D7"/>
    <w:rsid w:val="007E4DA5"/>
    <w:rsid w:val="007F6FDD"/>
    <w:rsid w:val="007F7F24"/>
    <w:rsid w:val="00811307"/>
    <w:rsid w:val="00811400"/>
    <w:rsid w:val="00816A3F"/>
    <w:rsid w:val="00817F89"/>
    <w:rsid w:val="00822719"/>
    <w:rsid w:val="00842730"/>
    <w:rsid w:val="008468D6"/>
    <w:rsid w:val="00851B76"/>
    <w:rsid w:val="0085421A"/>
    <w:rsid w:val="00870407"/>
    <w:rsid w:val="00886332"/>
    <w:rsid w:val="008920C6"/>
    <w:rsid w:val="0089441B"/>
    <w:rsid w:val="008A7606"/>
    <w:rsid w:val="008B0682"/>
    <w:rsid w:val="008D49A0"/>
    <w:rsid w:val="008F2CF9"/>
    <w:rsid w:val="00910C2C"/>
    <w:rsid w:val="0091118E"/>
    <w:rsid w:val="00922759"/>
    <w:rsid w:val="0092283B"/>
    <w:rsid w:val="00923BD1"/>
    <w:rsid w:val="00924E03"/>
    <w:rsid w:val="00946307"/>
    <w:rsid w:val="009A1AAB"/>
    <w:rsid w:val="009A1D5D"/>
    <w:rsid w:val="009A253A"/>
    <w:rsid w:val="009B3C46"/>
    <w:rsid w:val="009E206C"/>
    <w:rsid w:val="009F2CF8"/>
    <w:rsid w:val="009F3417"/>
    <w:rsid w:val="009F4815"/>
    <w:rsid w:val="00A079FA"/>
    <w:rsid w:val="00A15B9D"/>
    <w:rsid w:val="00A269DB"/>
    <w:rsid w:val="00A330A4"/>
    <w:rsid w:val="00A37CA9"/>
    <w:rsid w:val="00A445C2"/>
    <w:rsid w:val="00A51850"/>
    <w:rsid w:val="00A56339"/>
    <w:rsid w:val="00A605F8"/>
    <w:rsid w:val="00A65477"/>
    <w:rsid w:val="00A66B3E"/>
    <w:rsid w:val="00A742B2"/>
    <w:rsid w:val="00A84344"/>
    <w:rsid w:val="00A92EE6"/>
    <w:rsid w:val="00A9349D"/>
    <w:rsid w:val="00A95ECE"/>
    <w:rsid w:val="00AA6FD6"/>
    <w:rsid w:val="00AB0B80"/>
    <w:rsid w:val="00AB1C47"/>
    <w:rsid w:val="00AB399C"/>
    <w:rsid w:val="00AC25D2"/>
    <w:rsid w:val="00AD72BF"/>
    <w:rsid w:val="00B13013"/>
    <w:rsid w:val="00B1420F"/>
    <w:rsid w:val="00B15473"/>
    <w:rsid w:val="00B221E3"/>
    <w:rsid w:val="00B27E00"/>
    <w:rsid w:val="00B27E6B"/>
    <w:rsid w:val="00B311D5"/>
    <w:rsid w:val="00B40276"/>
    <w:rsid w:val="00B72D5A"/>
    <w:rsid w:val="00B75750"/>
    <w:rsid w:val="00B83B5D"/>
    <w:rsid w:val="00B918F6"/>
    <w:rsid w:val="00B91C9A"/>
    <w:rsid w:val="00B92E6E"/>
    <w:rsid w:val="00B95C8A"/>
    <w:rsid w:val="00B97250"/>
    <w:rsid w:val="00B97370"/>
    <w:rsid w:val="00BA4060"/>
    <w:rsid w:val="00BA759A"/>
    <w:rsid w:val="00BB38EC"/>
    <w:rsid w:val="00BB65CD"/>
    <w:rsid w:val="00BB790F"/>
    <w:rsid w:val="00BC453C"/>
    <w:rsid w:val="00BC781A"/>
    <w:rsid w:val="00BD6A96"/>
    <w:rsid w:val="00BE1BED"/>
    <w:rsid w:val="00BE2A00"/>
    <w:rsid w:val="00BE322E"/>
    <w:rsid w:val="00BE5AAF"/>
    <w:rsid w:val="00BE7B1B"/>
    <w:rsid w:val="00C00773"/>
    <w:rsid w:val="00C00809"/>
    <w:rsid w:val="00C02757"/>
    <w:rsid w:val="00C108A3"/>
    <w:rsid w:val="00C23ACA"/>
    <w:rsid w:val="00C3176B"/>
    <w:rsid w:val="00C6137D"/>
    <w:rsid w:val="00C70EA5"/>
    <w:rsid w:val="00C82034"/>
    <w:rsid w:val="00C9190C"/>
    <w:rsid w:val="00C91D4E"/>
    <w:rsid w:val="00CA1C8A"/>
    <w:rsid w:val="00CC5CBE"/>
    <w:rsid w:val="00CD4FA8"/>
    <w:rsid w:val="00CE0728"/>
    <w:rsid w:val="00CE79C0"/>
    <w:rsid w:val="00D016E7"/>
    <w:rsid w:val="00D16B7F"/>
    <w:rsid w:val="00D237EB"/>
    <w:rsid w:val="00D26BF2"/>
    <w:rsid w:val="00D50CEA"/>
    <w:rsid w:val="00D53A5A"/>
    <w:rsid w:val="00D543CD"/>
    <w:rsid w:val="00D54C75"/>
    <w:rsid w:val="00D62E88"/>
    <w:rsid w:val="00D63A13"/>
    <w:rsid w:val="00D65A17"/>
    <w:rsid w:val="00D6675C"/>
    <w:rsid w:val="00D731ED"/>
    <w:rsid w:val="00D75C9C"/>
    <w:rsid w:val="00D819A1"/>
    <w:rsid w:val="00D961AC"/>
    <w:rsid w:val="00DA5C10"/>
    <w:rsid w:val="00DC51A3"/>
    <w:rsid w:val="00DD30C7"/>
    <w:rsid w:val="00DD3585"/>
    <w:rsid w:val="00DF1177"/>
    <w:rsid w:val="00DF2D6C"/>
    <w:rsid w:val="00DF5838"/>
    <w:rsid w:val="00DF6761"/>
    <w:rsid w:val="00E00769"/>
    <w:rsid w:val="00E27321"/>
    <w:rsid w:val="00E378FB"/>
    <w:rsid w:val="00E41806"/>
    <w:rsid w:val="00E4554D"/>
    <w:rsid w:val="00E52FB8"/>
    <w:rsid w:val="00E542C9"/>
    <w:rsid w:val="00E545DD"/>
    <w:rsid w:val="00E5636A"/>
    <w:rsid w:val="00E57892"/>
    <w:rsid w:val="00E6611E"/>
    <w:rsid w:val="00E6617A"/>
    <w:rsid w:val="00E671D6"/>
    <w:rsid w:val="00E70072"/>
    <w:rsid w:val="00E805BB"/>
    <w:rsid w:val="00E828E4"/>
    <w:rsid w:val="00E8595E"/>
    <w:rsid w:val="00E903A2"/>
    <w:rsid w:val="00E9400E"/>
    <w:rsid w:val="00EC1612"/>
    <w:rsid w:val="00EC1658"/>
    <w:rsid w:val="00EC1900"/>
    <w:rsid w:val="00ED6BC1"/>
    <w:rsid w:val="00ED6DB2"/>
    <w:rsid w:val="00EF094C"/>
    <w:rsid w:val="00F107F5"/>
    <w:rsid w:val="00F27955"/>
    <w:rsid w:val="00F27D4B"/>
    <w:rsid w:val="00F4215F"/>
    <w:rsid w:val="00F5004B"/>
    <w:rsid w:val="00F5230A"/>
    <w:rsid w:val="00F5427C"/>
    <w:rsid w:val="00F56528"/>
    <w:rsid w:val="00F64854"/>
    <w:rsid w:val="00F707A4"/>
    <w:rsid w:val="00F80560"/>
    <w:rsid w:val="00F949C9"/>
    <w:rsid w:val="00F950CB"/>
    <w:rsid w:val="00F97AFC"/>
    <w:rsid w:val="00FA737C"/>
    <w:rsid w:val="00FB1E4B"/>
    <w:rsid w:val="00FB6E59"/>
    <w:rsid w:val="00FC6753"/>
    <w:rsid w:val="00FE0FEC"/>
    <w:rsid w:val="00FE1029"/>
    <w:rsid w:val="00FE5821"/>
    <w:rsid w:val="00FF0E9E"/>
    <w:rsid w:val="00FF114C"/>
    <w:rsid w:val="00FF168F"/>
    <w:rsid w:val="00FF581F"/>
    <w:rsid w:val="00FF700D"/>
    <w:rsid w:val="0C9DDB97"/>
    <w:rsid w:val="0F5B905A"/>
    <w:rsid w:val="10F760BB"/>
    <w:rsid w:val="15FE5B25"/>
    <w:rsid w:val="3E6841C6"/>
    <w:rsid w:val="5BC81F6E"/>
    <w:rsid w:val="791AE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E0DE0"/>
  <w15:docId w15:val="{0AD5C62D-18AF-46D1-B704-CF059D5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2AE"/>
  </w:style>
  <w:style w:type="paragraph" w:styleId="Heading1">
    <w:name w:val="heading 1"/>
    <w:basedOn w:val="Normal"/>
    <w:next w:val="Normal"/>
    <w:link w:val="Heading1Char"/>
    <w:uiPriority w:val="9"/>
    <w:qFormat/>
    <w:rsid w:val="00FF11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1C65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C65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723"/>
    <w:pPr>
      <w:ind w:left="720"/>
      <w:contextualSpacing/>
    </w:pPr>
  </w:style>
  <w:style w:type="character" w:styleId="Hyperlink">
    <w:name w:val="Hyperlink"/>
    <w:basedOn w:val="DefaultParagraphFont"/>
    <w:uiPriority w:val="99"/>
    <w:unhideWhenUsed/>
    <w:rsid w:val="00191D6B"/>
    <w:rPr>
      <w:color w:val="0000FF"/>
      <w:u w:val="single"/>
    </w:rPr>
  </w:style>
  <w:style w:type="paragraph" w:customStyle="1" w:styleId="Maintext">
    <w:name w:val="Main text"/>
    <w:basedOn w:val="Normal"/>
    <w:qFormat/>
    <w:rsid w:val="00191D6B"/>
    <w:pPr>
      <w:spacing w:line="240" w:lineRule="atLeast"/>
      <w:ind w:left="567"/>
    </w:pPr>
    <w:rPr>
      <w:rFonts w:eastAsia="Times New Roman" w:cs="Times New Roman"/>
      <w:sz w:val="18"/>
      <w:lang w:eastAsia="en-GB"/>
    </w:rPr>
  </w:style>
  <w:style w:type="character" w:styleId="FollowedHyperlink">
    <w:name w:val="FollowedHyperlink"/>
    <w:basedOn w:val="DefaultParagraphFont"/>
    <w:uiPriority w:val="99"/>
    <w:semiHidden/>
    <w:unhideWhenUsed/>
    <w:rsid w:val="00E57892"/>
    <w:rPr>
      <w:color w:val="800080" w:themeColor="followedHyperlink"/>
      <w:u w:val="single"/>
    </w:rPr>
  </w:style>
  <w:style w:type="paragraph" w:styleId="NoSpacing">
    <w:name w:val="No Spacing"/>
    <w:link w:val="NoSpacingChar"/>
    <w:uiPriority w:val="1"/>
    <w:qFormat/>
    <w:rsid w:val="001916CE"/>
    <w:pPr>
      <w:spacing w:after="0"/>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1916CE"/>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1916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6CE"/>
    <w:rPr>
      <w:rFonts w:ascii="Tahoma" w:hAnsi="Tahoma" w:cs="Tahoma"/>
      <w:sz w:val="16"/>
      <w:szCs w:val="16"/>
    </w:rPr>
  </w:style>
  <w:style w:type="paragraph" w:styleId="Header">
    <w:name w:val="header"/>
    <w:basedOn w:val="Normal"/>
    <w:link w:val="HeaderChar"/>
    <w:uiPriority w:val="99"/>
    <w:unhideWhenUsed/>
    <w:rsid w:val="002622F1"/>
    <w:pPr>
      <w:tabs>
        <w:tab w:val="center" w:pos="4513"/>
        <w:tab w:val="right" w:pos="9026"/>
      </w:tabs>
      <w:spacing w:after="0"/>
    </w:pPr>
  </w:style>
  <w:style w:type="character" w:customStyle="1" w:styleId="HeaderChar">
    <w:name w:val="Header Char"/>
    <w:basedOn w:val="DefaultParagraphFont"/>
    <w:link w:val="Header"/>
    <w:uiPriority w:val="99"/>
    <w:rsid w:val="002622F1"/>
  </w:style>
  <w:style w:type="paragraph" w:styleId="Footer">
    <w:name w:val="footer"/>
    <w:basedOn w:val="Normal"/>
    <w:link w:val="FooterChar"/>
    <w:uiPriority w:val="99"/>
    <w:unhideWhenUsed/>
    <w:rsid w:val="002622F1"/>
    <w:pPr>
      <w:tabs>
        <w:tab w:val="center" w:pos="4513"/>
        <w:tab w:val="right" w:pos="9026"/>
      </w:tabs>
      <w:spacing w:after="0"/>
    </w:pPr>
  </w:style>
  <w:style w:type="character" w:customStyle="1" w:styleId="FooterChar">
    <w:name w:val="Footer Char"/>
    <w:basedOn w:val="DefaultParagraphFont"/>
    <w:link w:val="Footer"/>
    <w:uiPriority w:val="99"/>
    <w:rsid w:val="002622F1"/>
  </w:style>
  <w:style w:type="character" w:customStyle="1" w:styleId="Heading1Char">
    <w:name w:val="Heading 1 Char"/>
    <w:basedOn w:val="DefaultParagraphFont"/>
    <w:link w:val="Heading1"/>
    <w:uiPriority w:val="9"/>
    <w:rsid w:val="00FF11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F114C"/>
    <w:pPr>
      <w:outlineLvl w:val="9"/>
    </w:pPr>
    <w:rPr>
      <w:lang w:val="en-US" w:eastAsia="ja-JP"/>
    </w:rPr>
  </w:style>
  <w:style w:type="paragraph" w:styleId="TOC1">
    <w:name w:val="toc 1"/>
    <w:basedOn w:val="Normal"/>
    <w:next w:val="Normal"/>
    <w:autoRedefine/>
    <w:uiPriority w:val="39"/>
    <w:unhideWhenUsed/>
    <w:rsid w:val="00FF114C"/>
    <w:pPr>
      <w:spacing w:after="100"/>
    </w:pPr>
  </w:style>
  <w:style w:type="table" w:styleId="TableGrid">
    <w:name w:val="Table Grid"/>
    <w:basedOn w:val="TableNormal"/>
    <w:uiPriority w:val="59"/>
    <w:rsid w:val="00C8203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C65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C65B6"/>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3E4EE9"/>
    <w:rPr>
      <w:sz w:val="16"/>
      <w:szCs w:val="16"/>
    </w:rPr>
  </w:style>
  <w:style w:type="paragraph" w:styleId="CommentText">
    <w:name w:val="annotation text"/>
    <w:basedOn w:val="Normal"/>
    <w:link w:val="CommentTextChar"/>
    <w:uiPriority w:val="99"/>
    <w:semiHidden/>
    <w:unhideWhenUsed/>
    <w:rsid w:val="003E4EE9"/>
    <w:rPr>
      <w:sz w:val="20"/>
      <w:szCs w:val="20"/>
    </w:rPr>
  </w:style>
  <w:style w:type="character" w:customStyle="1" w:styleId="CommentTextChar">
    <w:name w:val="Comment Text Char"/>
    <w:basedOn w:val="DefaultParagraphFont"/>
    <w:link w:val="CommentText"/>
    <w:uiPriority w:val="99"/>
    <w:semiHidden/>
    <w:rsid w:val="003E4EE9"/>
    <w:rPr>
      <w:sz w:val="20"/>
      <w:szCs w:val="20"/>
    </w:rPr>
  </w:style>
  <w:style w:type="paragraph" w:styleId="CommentSubject">
    <w:name w:val="annotation subject"/>
    <w:basedOn w:val="CommentText"/>
    <w:next w:val="CommentText"/>
    <w:link w:val="CommentSubjectChar"/>
    <w:uiPriority w:val="99"/>
    <w:semiHidden/>
    <w:unhideWhenUsed/>
    <w:rsid w:val="003E4EE9"/>
    <w:rPr>
      <w:b/>
      <w:bCs/>
    </w:rPr>
  </w:style>
  <w:style w:type="character" w:customStyle="1" w:styleId="CommentSubjectChar">
    <w:name w:val="Comment Subject Char"/>
    <w:basedOn w:val="CommentTextChar"/>
    <w:link w:val="CommentSubject"/>
    <w:uiPriority w:val="99"/>
    <w:semiHidden/>
    <w:rsid w:val="003E4EE9"/>
    <w:rPr>
      <w:b/>
      <w:bCs/>
      <w:sz w:val="20"/>
      <w:szCs w:val="20"/>
    </w:rPr>
  </w:style>
  <w:style w:type="paragraph" w:styleId="Revision">
    <w:name w:val="Revision"/>
    <w:hidden/>
    <w:uiPriority w:val="99"/>
    <w:semiHidden/>
    <w:rsid w:val="003E4EE9"/>
    <w:pPr>
      <w:spacing w:after="0"/>
      <w:jc w:val="left"/>
    </w:pPr>
  </w:style>
  <w:style w:type="paragraph" w:customStyle="1" w:styleId="Default">
    <w:name w:val="Default"/>
    <w:rsid w:val="00F949C9"/>
    <w:pPr>
      <w:autoSpaceDE w:val="0"/>
      <w:autoSpaceDN w:val="0"/>
      <w:adjustRightInd w:val="0"/>
      <w:spacing w:after="0"/>
      <w:jc w:val="left"/>
    </w:pPr>
    <w:rPr>
      <w:rFonts w:ascii="LJSLRP+HelveticaNeue" w:hAnsi="LJSLRP+HelveticaNeue" w:cs="LJSLRP+HelveticaNeue"/>
      <w:color w:val="000000"/>
    </w:rPr>
  </w:style>
  <w:style w:type="character" w:customStyle="1" w:styleId="A3">
    <w:name w:val="A3"/>
    <w:uiPriority w:val="99"/>
    <w:rsid w:val="00F949C9"/>
    <w:rPr>
      <w:rFonts w:cs="LJSLRP+HelveticaNeue"/>
      <w:color w:val="000000"/>
      <w:sz w:val="16"/>
      <w:szCs w:val="16"/>
    </w:rPr>
  </w:style>
  <w:style w:type="character" w:customStyle="1" w:styleId="A8">
    <w:name w:val="A8"/>
    <w:uiPriority w:val="99"/>
    <w:rsid w:val="00F949C9"/>
    <w:rPr>
      <w:rFonts w:ascii="Helvetica 45 Light" w:hAnsi="Helvetica 45 Light" w:cs="Helvetica 45 Light"/>
      <w:color w:val="000000"/>
      <w:sz w:val="12"/>
      <w:szCs w:val="12"/>
    </w:rPr>
  </w:style>
  <w:style w:type="character" w:customStyle="1" w:styleId="A2">
    <w:name w:val="A2"/>
    <w:uiPriority w:val="99"/>
    <w:rsid w:val="000417E8"/>
    <w:rPr>
      <w:rFonts w:cs="Helvetica 65 Medium"/>
      <w:color w:val="000000"/>
      <w:sz w:val="20"/>
      <w:szCs w:val="20"/>
    </w:rPr>
  </w:style>
  <w:style w:type="character" w:styleId="UnresolvedMention">
    <w:name w:val="Unresolved Mention"/>
    <w:basedOn w:val="DefaultParagraphFont"/>
    <w:uiPriority w:val="99"/>
    <w:semiHidden/>
    <w:unhideWhenUsed/>
    <w:rsid w:val="00441583"/>
    <w:rPr>
      <w:color w:val="808080"/>
      <w:shd w:val="clear" w:color="auto" w:fill="E6E6E6"/>
    </w:rPr>
  </w:style>
  <w:style w:type="table" w:styleId="GridTable2">
    <w:name w:val="Grid Table 2"/>
    <w:basedOn w:val="TableNormal"/>
    <w:uiPriority w:val="47"/>
    <w:rsid w:val="005323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94345">
      <w:bodyDiv w:val="1"/>
      <w:marLeft w:val="0"/>
      <w:marRight w:val="0"/>
      <w:marTop w:val="0"/>
      <w:marBottom w:val="0"/>
      <w:divBdr>
        <w:top w:val="none" w:sz="0" w:space="0" w:color="auto"/>
        <w:left w:val="none" w:sz="0" w:space="0" w:color="auto"/>
        <w:bottom w:val="none" w:sz="0" w:space="0" w:color="auto"/>
        <w:right w:val="none" w:sz="0" w:space="0" w:color="auto"/>
      </w:divBdr>
      <w:divsChild>
        <w:div w:id="759646673">
          <w:marLeft w:val="0"/>
          <w:marRight w:val="0"/>
          <w:marTop w:val="0"/>
          <w:marBottom w:val="0"/>
          <w:divBdr>
            <w:top w:val="none" w:sz="0" w:space="0" w:color="auto"/>
            <w:left w:val="none" w:sz="0" w:space="0" w:color="auto"/>
            <w:bottom w:val="none" w:sz="0" w:space="0" w:color="auto"/>
            <w:right w:val="none" w:sz="0" w:space="0" w:color="auto"/>
          </w:divBdr>
          <w:divsChild>
            <w:div w:id="808127420">
              <w:marLeft w:val="0"/>
              <w:marRight w:val="0"/>
              <w:marTop w:val="0"/>
              <w:marBottom w:val="0"/>
              <w:divBdr>
                <w:top w:val="none" w:sz="0" w:space="0" w:color="auto"/>
                <w:left w:val="none" w:sz="0" w:space="0" w:color="auto"/>
                <w:bottom w:val="none" w:sz="0" w:space="0" w:color="auto"/>
                <w:right w:val="none" w:sz="0" w:space="0" w:color="auto"/>
              </w:divBdr>
              <w:divsChild>
                <w:div w:id="967777910">
                  <w:marLeft w:val="0"/>
                  <w:marRight w:val="0"/>
                  <w:marTop w:val="0"/>
                  <w:marBottom w:val="0"/>
                  <w:divBdr>
                    <w:top w:val="none" w:sz="0" w:space="0" w:color="auto"/>
                    <w:left w:val="none" w:sz="0" w:space="0" w:color="auto"/>
                    <w:bottom w:val="none" w:sz="0" w:space="0" w:color="auto"/>
                    <w:right w:val="none" w:sz="0" w:space="0" w:color="auto"/>
                  </w:divBdr>
                  <w:divsChild>
                    <w:div w:id="2041474381">
                      <w:marLeft w:val="0"/>
                      <w:marRight w:val="0"/>
                      <w:marTop w:val="0"/>
                      <w:marBottom w:val="0"/>
                      <w:divBdr>
                        <w:top w:val="none" w:sz="0" w:space="0" w:color="auto"/>
                        <w:left w:val="none" w:sz="0" w:space="0" w:color="auto"/>
                        <w:bottom w:val="none" w:sz="0" w:space="0" w:color="auto"/>
                        <w:right w:val="none" w:sz="0" w:space="0" w:color="auto"/>
                      </w:divBdr>
                      <w:divsChild>
                        <w:div w:id="1595363780">
                          <w:marLeft w:val="0"/>
                          <w:marRight w:val="0"/>
                          <w:marTop w:val="0"/>
                          <w:marBottom w:val="0"/>
                          <w:divBdr>
                            <w:top w:val="none" w:sz="0" w:space="0" w:color="auto"/>
                            <w:left w:val="none" w:sz="0" w:space="0" w:color="auto"/>
                            <w:bottom w:val="none" w:sz="0" w:space="0" w:color="auto"/>
                            <w:right w:val="none" w:sz="0" w:space="0" w:color="auto"/>
                          </w:divBdr>
                          <w:divsChild>
                            <w:div w:id="103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30147">
      <w:bodyDiv w:val="1"/>
      <w:marLeft w:val="0"/>
      <w:marRight w:val="0"/>
      <w:marTop w:val="0"/>
      <w:marBottom w:val="0"/>
      <w:divBdr>
        <w:top w:val="none" w:sz="0" w:space="0" w:color="auto"/>
        <w:left w:val="none" w:sz="0" w:space="0" w:color="auto"/>
        <w:bottom w:val="none" w:sz="0" w:space="0" w:color="auto"/>
        <w:right w:val="none" w:sz="0" w:space="0" w:color="auto"/>
      </w:divBdr>
      <w:divsChild>
        <w:div w:id="354692141">
          <w:marLeft w:val="0"/>
          <w:marRight w:val="0"/>
          <w:marTop w:val="0"/>
          <w:marBottom w:val="0"/>
          <w:divBdr>
            <w:top w:val="none" w:sz="0" w:space="0" w:color="auto"/>
            <w:left w:val="none" w:sz="0" w:space="0" w:color="auto"/>
            <w:bottom w:val="none" w:sz="0" w:space="0" w:color="auto"/>
            <w:right w:val="none" w:sz="0" w:space="0" w:color="auto"/>
          </w:divBdr>
          <w:divsChild>
            <w:div w:id="29890208">
              <w:marLeft w:val="0"/>
              <w:marRight w:val="0"/>
              <w:marTop w:val="0"/>
              <w:marBottom w:val="0"/>
              <w:divBdr>
                <w:top w:val="none" w:sz="0" w:space="0" w:color="auto"/>
                <w:left w:val="none" w:sz="0" w:space="0" w:color="auto"/>
                <w:bottom w:val="none" w:sz="0" w:space="0" w:color="auto"/>
                <w:right w:val="none" w:sz="0" w:space="0" w:color="auto"/>
              </w:divBdr>
              <w:divsChild>
                <w:div w:id="395862393">
                  <w:marLeft w:val="0"/>
                  <w:marRight w:val="0"/>
                  <w:marTop w:val="0"/>
                  <w:marBottom w:val="0"/>
                  <w:divBdr>
                    <w:top w:val="none" w:sz="0" w:space="0" w:color="auto"/>
                    <w:left w:val="none" w:sz="0" w:space="0" w:color="auto"/>
                    <w:bottom w:val="none" w:sz="0" w:space="0" w:color="auto"/>
                    <w:right w:val="none" w:sz="0" w:space="0" w:color="auto"/>
                  </w:divBdr>
                  <w:divsChild>
                    <w:div w:id="402146776">
                      <w:marLeft w:val="0"/>
                      <w:marRight w:val="0"/>
                      <w:marTop w:val="0"/>
                      <w:marBottom w:val="0"/>
                      <w:divBdr>
                        <w:top w:val="none" w:sz="0" w:space="0" w:color="auto"/>
                        <w:left w:val="none" w:sz="0" w:space="0" w:color="auto"/>
                        <w:bottom w:val="none" w:sz="0" w:space="0" w:color="auto"/>
                        <w:right w:val="none" w:sz="0" w:space="0" w:color="auto"/>
                      </w:divBdr>
                      <w:divsChild>
                        <w:div w:id="1365324163">
                          <w:marLeft w:val="0"/>
                          <w:marRight w:val="0"/>
                          <w:marTop w:val="0"/>
                          <w:marBottom w:val="0"/>
                          <w:divBdr>
                            <w:top w:val="none" w:sz="0" w:space="0" w:color="auto"/>
                            <w:left w:val="none" w:sz="0" w:space="0" w:color="auto"/>
                            <w:bottom w:val="none" w:sz="0" w:space="0" w:color="auto"/>
                            <w:right w:val="none" w:sz="0" w:space="0" w:color="auto"/>
                          </w:divBdr>
                          <w:divsChild>
                            <w:div w:id="47954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84E65.6E483900" TargetMode="External"/><Relationship Id="rId18" Type="http://schemas.openxmlformats.org/officeDocument/2006/relationships/hyperlink" Target="mailto:bst@beis.gov.uk" TargetMode="External"/><Relationship Id="rId26" Type="http://schemas.openxmlformats.org/officeDocument/2006/relationships/hyperlink" Target="mailto:consents@nstauthority.co.uk" TargetMode="Externa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stauthority.co.uk/licensing-consents/consents/pipeline-works-authorisations/pwa-applications/" TargetMode="External"/><Relationship Id="rId25" Type="http://schemas.openxmlformats.org/officeDocument/2006/relationships/hyperlink" Target="https://www.nstauthority.co.uk/licensing-consents/consents/pipeline-works-authorisations/pwa-applications/" TargetMode="External"/><Relationship Id="rId2" Type="http://schemas.openxmlformats.org/officeDocument/2006/relationships/customXml" Target="../customXml/item2.xml"/><Relationship Id="rId16" Type="http://schemas.openxmlformats.org/officeDocument/2006/relationships/hyperlink" Target="file:///C:\Users\hhancock\AppData\Local\Microsoft\Windows\Temporary%20Internet%20Files\Content.Outlook\365OHALT\Decommissioning%20Template%20Coversheet.docx" TargetMode="External"/><Relationship Id="rId20" Type="http://schemas.openxmlformats.org/officeDocument/2006/relationships/diagramData" Target="diagrams/data1.xml"/><Relationship Id="rId29" Type="http://schemas.openxmlformats.org/officeDocument/2006/relationships/hyperlink" Target="http://www.nstauthority.co.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07/relationships/diagramDrawing" Target="diagrams/drawing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gauthority.sharepoint.com/:x:/r/sites/CAA/_layouts/15/Doc.aspx?sourcedoc=%7B77DD5AB1-461D-4E8E-85BF-3116DFFE37DA%7D&amp;file=Proposed%20Application%20Summary%20Template.xlsx&amp;action=default&amp;mobileredirect=true" TargetMode="External"/><Relationship Id="rId23" Type="http://schemas.openxmlformats.org/officeDocument/2006/relationships/diagramColors" Target="diagrams/colors1.xml"/><Relationship Id="rId28" Type="http://schemas.openxmlformats.org/officeDocument/2006/relationships/hyperlink" Target="http://www.nstauthority.co.uk" TargetMode="External"/><Relationship Id="rId10" Type="http://schemas.openxmlformats.org/officeDocument/2006/relationships/footnotes" Target="footnotes.xml"/><Relationship Id="rId19" Type="http://schemas.openxmlformats.org/officeDocument/2006/relationships/hyperlink" Target="http://www.hse.gov.uk/pipelines/notification.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diagramQuickStyle" Target="diagrams/quickStyle1.xml"/><Relationship Id="rId27" Type="http://schemas.openxmlformats.org/officeDocument/2006/relationships/image" Target="media/image3.png"/><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0517D40-1A9F-46BA-9C32-76B30D786B1A}" type="doc">
      <dgm:prSet loTypeId="urn:microsoft.com/office/officeart/2005/8/layout/radial4" loCatId="relationship" qsTypeId="urn:microsoft.com/office/officeart/2005/8/quickstyle/simple1" qsCatId="simple" csTypeId="urn:microsoft.com/office/officeart/2005/8/colors/accent0_3" csCatId="mainScheme" phldr="1"/>
      <dgm:spPr/>
      <dgm:t>
        <a:bodyPr/>
        <a:lstStyle/>
        <a:p>
          <a:endParaRPr lang="en-GB"/>
        </a:p>
      </dgm:t>
    </dgm:pt>
    <dgm:pt modelId="{06B682B8-911B-422E-A856-E4B93037C63A}">
      <dgm:prSet phldrT="[Text]"/>
      <dgm:spPr/>
      <dgm:t>
        <a:bodyPr/>
        <a:lstStyle/>
        <a:p>
          <a:r>
            <a:rPr lang="en-GB" dirty="0"/>
            <a:t>PWA Variation Approval</a:t>
          </a:r>
        </a:p>
      </dgm:t>
    </dgm:pt>
    <dgm:pt modelId="{9D7C90F6-F4A0-4EFF-8256-8BB494CD750C}" type="parTrans" cxnId="{B513ED45-6881-43F9-AE92-4A9D5FBF2E1B}">
      <dgm:prSet/>
      <dgm:spPr/>
      <dgm:t>
        <a:bodyPr/>
        <a:lstStyle/>
        <a:p>
          <a:endParaRPr lang="en-GB"/>
        </a:p>
      </dgm:t>
    </dgm:pt>
    <dgm:pt modelId="{6086B8A5-FB9B-4756-B3F4-B45A041C12D9}" type="sibTrans" cxnId="{B513ED45-6881-43F9-AE92-4A9D5FBF2E1B}">
      <dgm:prSet/>
      <dgm:spPr/>
      <dgm:t>
        <a:bodyPr/>
        <a:lstStyle/>
        <a:p>
          <a:endParaRPr lang="en-GB"/>
        </a:p>
      </dgm:t>
    </dgm:pt>
    <dgm:pt modelId="{85992455-7E90-4BD7-BCD9-FB30F0D0F736}">
      <dgm:prSet phldrT="[Text]" custT="1"/>
      <dgm:spPr/>
      <dgm:t>
        <a:bodyPr/>
        <a:lstStyle/>
        <a:p>
          <a:r>
            <a:rPr lang="en-GB" sz="700" dirty="0"/>
            <a:t>7</a:t>
          </a:r>
        </a:p>
        <a:p>
          <a:r>
            <a:rPr lang="en-GB" sz="700" dirty="0"/>
            <a:t>Consultee Agreement</a:t>
          </a:r>
        </a:p>
      </dgm:t>
    </dgm:pt>
    <dgm:pt modelId="{1396993A-7927-403E-B37C-AF9D4A85DA58}" type="parTrans" cxnId="{FB7CE197-653E-4132-9ED2-F353DC2A4EB7}">
      <dgm:prSet/>
      <dgm:spPr/>
      <dgm:t>
        <a:bodyPr/>
        <a:lstStyle/>
        <a:p>
          <a:endParaRPr lang="en-GB"/>
        </a:p>
      </dgm:t>
    </dgm:pt>
    <dgm:pt modelId="{C0D70182-236F-4599-AC59-ABACA5C7EE0C}" type="sibTrans" cxnId="{FB7CE197-653E-4132-9ED2-F353DC2A4EB7}">
      <dgm:prSet/>
      <dgm:spPr/>
      <dgm:t>
        <a:bodyPr/>
        <a:lstStyle/>
        <a:p>
          <a:endParaRPr lang="en-GB"/>
        </a:p>
      </dgm:t>
    </dgm:pt>
    <dgm:pt modelId="{3BE09D3D-CD0F-44C6-823E-970D426F73EF}">
      <dgm:prSet phldrT="[Text]" custT="1"/>
      <dgm:spPr/>
      <dgm:t>
        <a:bodyPr/>
        <a:lstStyle/>
        <a:p>
          <a:r>
            <a:rPr lang="en-GB" sz="700" dirty="0"/>
            <a:t>8</a:t>
          </a:r>
        </a:p>
        <a:p>
          <a:r>
            <a:rPr lang="en-GB" sz="700" dirty="0"/>
            <a:t>Legal Consent Document</a:t>
          </a:r>
        </a:p>
      </dgm:t>
    </dgm:pt>
    <dgm:pt modelId="{78C10885-DD2A-4E62-B3B1-0675B73174F1}" type="parTrans" cxnId="{341E9E16-BA7F-4461-9B1E-6C29670DEE22}">
      <dgm:prSet/>
      <dgm:spPr/>
      <dgm:t>
        <a:bodyPr/>
        <a:lstStyle/>
        <a:p>
          <a:endParaRPr lang="en-GB"/>
        </a:p>
      </dgm:t>
    </dgm:pt>
    <dgm:pt modelId="{08BE4682-8D09-47F6-B13A-2412F1ACF3B5}" type="sibTrans" cxnId="{341E9E16-BA7F-4461-9B1E-6C29670DEE22}">
      <dgm:prSet/>
      <dgm:spPr/>
      <dgm:t>
        <a:bodyPr/>
        <a:lstStyle/>
        <a:p>
          <a:endParaRPr lang="en-GB"/>
        </a:p>
      </dgm:t>
    </dgm:pt>
    <dgm:pt modelId="{7BF94015-46B1-4413-9C0A-6A75C7CF86CF}">
      <dgm:prSet custT="1"/>
      <dgm:spPr/>
      <dgm:t>
        <a:bodyPr/>
        <a:lstStyle/>
        <a:p>
          <a:r>
            <a:rPr lang="en-GB" sz="700" dirty="0"/>
            <a:t>1 </a:t>
          </a:r>
        </a:p>
        <a:p>
          <a:r>
            <a:rPr lang="en-GB" sz="700" dirty="0"/>
            <a:t>Initial Meeting</a:t>
          </a:r>
        </a:p>
      </dgm:t>
    </dgm:pt>
    <dgm:pt modelId="{4379377C-CD1F-4992-BC09-8F725747D1B1}" type="parTrans" cxnId="{51634789-DD9A-4EE0-B16A-8AF49A4B3DE4}">
      <dgm:prSet/>
      <dgm:spPr/>
      <dgm:t>
        <a:bodyPr/>
        <a:lstStyle/>
        <a:p>
          <a:endParaRPr lang="en-GB"/>
        </a:p>
      </dgm:t>
    </dgm:pt>
    <dgm:pt modelId="{D53A1A94-06E3-44A8-BEEC-ADC1A63EA721}" type="sibTrans" cxnId="{51634789-DD9A-4EE0-B16A-8AF49A4B3DE4}">
      <dgm:prSet/>
      <dgm:spPr/>
      <dgm:t>
        <a:bodyPr/>
        <a:lstStyle/>
        <a:p>
          <a:endParaRPr lang="en-GB"/>
        </a:p>
      </dgm:t>
    </dgm:pt>
    <dgm:pt modelId="{9F3DB7DA-CD46-4AD9-9B72-880CBAA3F7DF}">
      <dgm:prSet custT="1"/>
      <dgm:spPr/>
      <dgm:t>
        <a:bodyPr/>
        <a:lstStyle/>
        <a:p>
          <a:r>
            <a:rPr lang="en-GB" sz="700" dirty="0"/>
            <a:t>3</a:t>
          </a:r>
        </a:p>
        <a:p>
          <a:r>
            <a:rPr lang="en-GB" sz="700" dirty="0"/>
            <a:t>Draft Application</a:t>
          </a:r>
        </a:p>
      </dgm:t>
    </dgm:pt>
    <dgm:pt modelId="{38A3D7E3-D49D-4311-9594-C534FE424D97}" type="parTrans" cxnId="{14242743-EE08-4C20-A094-4FDB0AC2C2BB}">
      <dgm:prSet/>
      <dgm:spPr/>
      <dgm:t>
        <a:bodyPr/>
        <a:lstStyle/>
        <a:p>
          <a:endParaRPr lang="en-GB"/>
        </a:p>
      </dgm:t>
    </dgm:pt>
    <dgm:pt modelId="{F207A7BC-10C1-4824-BFDF-7583B4A05E80}" type="sibTrans" cxnId="{14242743-EE08-4C20-A094-4FDB0AC2C2BB}">
      <dgm:prSet/>
      <dgm:spPr/>
      <dgm:t>
        <a:bodyPr/>
        <a:lstStyle/>
        <a:p>
          <a:endParaRPr lang="en-GB"/>
        </a:p>
      </dgm:t>
    </dgm:pt>
    <dgm:pt modelId="{7194A3D6-C3C9-4B45-A824-ED5E5E233536}">
      <dgm:prSet custT="1"/>
      <dgm:spPr/>
      <dgm:t>
        <a:bodyPr/>
        <a:lstStyle/>
        <a:p>
          <a:r>
            <a:rPr lang="en-GB" sz="700" dirty="0"/>
            <a:t>5</a:t>
          </a:r>
        </a:p>
        <a:p>
          <a:r>
            <a:rPr lang="en-GB" sz="700" dirty="0"/>
            <a:t>Environmental Permit Submissions</a:t>
          </a:r>
        </a:p>
        <a:p>
          <a:r>
            <a:rPr lang="en-GB" sz="700" dirty="0"/>
            <a:t>BEIS</a:t>
          </a:r>
        </a:p>
      </dgm:t>
    </dgm:pt>
    <dgm:pt modelId="{C94807D4-21DC-4539-A31A-195EEC100605}" type="parTrans" cxnId="{30B74EDA-F5E5-4859-BA57-1F1400002B0B}">
      <dgm:prSet/>
      <dgm:spPr/>
      <dgm:t>
        <a:bodyPr/>
        <a:lstStyle/>
        <a:p>
          <a:endParaRPr lang="en-GB"/>
        </a:p>
      </dgm:t>
    </dgm:pt>
    <dgm:pt modelId="{051274FA-2AF4-4F65-8331-963E098E6053}" type="sibTrans" cxnId="{30B74EDA-F5E5-4859-BA57-1F1400002B0B}">
      <dgm:prSet/>
      <dgm:spPr/>
      <dgm:t>
        <a:bodyPr/>
        <a:lstStyle/>
        <a:p>
          <a:endParaRPr lang="en-GB"/>
        </a:p>
      </dgm:t>
    </dgm:pt>
    <dgm:pt modelId="{A315F2E7-9737-4669-BF79-58AA3F9D85C9}">
      <dgm:prSet custT="1"/>
      <dgm:spPr/>
      <dgm:t>
        <a:bodyPr/>
        <a:lstStyle/>
        <a:p>
          <a:r>
            <a:rPr lang="en-GB" sz="700" dirty="0"/>
            <a:t>4</a:t>
          </a:r>
        </a:p>
        <a:p>
          <a:r>
            <a:rPr lang="en-GB" sz="700" dirty="0"/>
            <a:t>Final Satisfactory Application</a:t>
          </a:r>
        </a:p>
      </dgm:t>
    </dgm:pt>
    <dgm:pt modelId="{10BDA815-28B9-48C0-9665-DA13B7B833AE}" type="parTrans" cxnId="{B3BD8A10-D68F-4AA8-8DE5-558E7B5F8C83}">
      <dgm:prSet/>
      <dgm:spPr/>
      <dgm:t>
        <a:bodyPr/>
        <a:lstStyle/>
        <a:p>
          <a:endParaRPr lang="en-GB"/>
        </a:p>
      </dgm:t>
    </dgm:pt>
    <dgm:pt modelId="{3DD9FD26-1772-4209-9132-155015A51CC4}" type="sibTrans" cxnId="{B3BD8A10-D68F-4AA8-8DE5-558E7B5F8C83}">
      <dgm:prSet/>
      <dgm:spPr/>
      <dgm:t>
        <a:bodyPr/>
        <a:lstStyle/>
        <a:p>
          <a:endParaRPr lang="en-GB"/>
        </a:p>
      </dgm:t>
    </dgm:pt>
    <dgm:pt modelId="{0296AA14-EBA0-4C9E-A8F3-6BA3523EDF28}">
      <dgm:prSet custT="1"/>
      <dgm:spPr/>
      <dgm:t>
        <a:bodyPr/>
        <a:lstStyle/>
        <a:p>
          <a:r>
            <a:rPr lang="en-GB" sz="700" dirty="0"/>
            <a:t>6</a:t>
          </a:r>
        </a:p>
        <a:p>
          <a:r>
            <a:rPr lang="en-GB" sz="700" dirty="0"/>
            <a:t>Consultation (28 Days)</a:t>
          </a:r>
        </a:p>
      </dgm:t>
    </dgm:pt>
    <dgm:pt modelId="{6A46E58E-B8B2-46ED-ADB9-7A85A6CA8AF5}" type="parTrans" cxnId="{44D5646E-EEF6-4257-B561-856DBE2AAAC7}">
      <dgm:prSet/>
      <dgm:spPr/>
      <dgm:t>
        <a:bodyPr/>
        <a:lstStyle/>
        <a:p>
          <a:endParaRPr lang="en-GB"/>
        </a:p>
      </dgm:t>
    </dgm:pt>
    <dgm:pt modelId="{01E166E4-AB13-4899-85AD-2E53B64B2146}" type="sibTrans" cxnId="{44D5646E-EEF6-4257-B561-856DBE2AAAC7}">
      <dgm:prSet/>
      <dgm:spPr/>
      <dgm:t>
        <a:bodyPr/>
        <a:lstStyle/>
        <a:p>
          <a:endParaRPr lang="en-GB"/>
        </a:p>
      </dgm:t>
    </dgm:pt>
    <dgm:pt modelId="{1E538E14-3842-45C8-8FF9-B059354D03A6}">
      <dgm:prSet custT="1"/>
      <dgm:spPr/>
      <dgm:t>
        <a:bodyPr/>
        <a:lstStyle/>
        <a:p>
          <a:r>
            <a:rPr lang="en-GB" sz="700" dirty="0"/>
            <a:t>2</a:t>
          </a:r>
        </a:p>
        <a:p>
          <a:r>
            <a:rPr lang="en-GB" sz="700" dirty="0"/>
            <a:t>COP Document Review</a:t>
          </a:r>
        </a:p>
      </dgm:t>
    </dgm:pt>
    <dgm:pt modelId="{37CCAA52-C978-4B36-9ED2-5EB40F1A33C3}" type="parTrans" cxnId="{62AAA4A0-5C3D-49F9-9A30-CF27676CCABB}">
      <dgm:prSet/>
      <dgm:spPr/>
      <dgm:t>
        <a:bodyPr/>
        <a:lstStyle/>
        <a:p>
          <a:endParaRPr lang="en-GB"/>
        </a:p>
      </dgm:t>
    </dgm:pt>
    <dgm:pt modelId="{9E9B93D6-E3C0-4AA0-88B7-5FA0DEEA2A2C}" type="sibTrans" cxnId="{62AAA4A0-5C3D-49F9-9A30-CF27676CCABB}">
      <dgm:prSet/>
      <dgm:spPr/>
      <dgm:t>
        <a:bodyPr/>
        <a:lstStyle/>
        <a:p>
          <a:endParaRPr lang="en-GB"/>
        </a:p>
      </dgm:t>
    </dgm:pt>
    <dgm:pt modelId="{CF69AD99-32F2-46CB-95E1-5F7610F46CB8}" type="pres">
      <dgm:prSet presAssocID="{80517D40-1A9F-46BA-9C32-76B30D786B1A}" presName="cycle" presStyleCnt="0">
        <dgm:presLayoutVars>
          <dgm:chMax val="1"/>
          <dgm:dir/>
          <dgm:animLvl val="ctr"/>
          <dgm:resizeHandles val="exact"/>
        </dgm:presLayoutVars>
      </dgm:prSet>
      <dgm:spPr/>
    </dgm:pt>
    <dgm:pt modelId="{DDCD648B-6CC8-4887-96B1-56EF53E5EE8F}" type="pres">
      <dgm:prSet presAssocID="{06B682B8-911B-422E-A856-E4B93037C63A}" presName="centerShape" presStyleLbl="node0" presStyleIdx="0" presStyleCnt="1" custScaleX="123954" custScaleY="116852" custLinFactNeighborX="-12" custLinFactNeighborY="-22664"/>
      <dgm:spPr/>
    </dgm:pt>
    <dgm:pt modelId="{ACA5EFB4-6157-4FFA-A6BB-203BB60D79A5}" type="pres">
      <dgm:prSet presAssocID="{1396993A-7927-403E-B37C-AF9D4A85DA58}" presName="parTrans" presStyleLbl="bgSibTrans2D1" presStyleIdx="0" presStyleCnt="8" custAng="17363357" custScaleX="55385" custLinFactNeighborX="-47962" custLinFactNeighborY="-87153"/>
      <dgm:spPr/>
    </dgm:pt>
    <dgm:pt modelId="{4C719402-EE18-4852-8D6C-09D5D6FA930C}" type="pres">
      <dgm:prSet presAssocID="{85992455-7E90-4BD7-BCD9-FB30F0D0F736}" presName="node" presStyleLbl="node1" presStyleIdx="0" presStyleCnt="8" custRadScaleRad="82934" custRadScaleInc="51786">
        <dgm:presLayoutVars>
          <dgm:bulletEnabled val="1"/>
        </dgm:presLayoutVars>
      </dgm:prSet>
      <dgm:spPr>
        <a:prstGeom prst="ellipse">
          <a:avLst/>
        </a:prstGeom>
      </dgm:spPr>
    </dgm:pt>
    <dgm:pt modelId="{8EA20085-E5A1-4E18-A875-2AD69E1C8AEE}" type="pres">
      <dgm:prSet presAssocID="{78C10885-DD2A-4E62-B3B1-0675B73174F1}" presName="parTrans" presStyleLbl="bgSibTrans2D1" presStyleIdx="1" presStyleCnt="8" custAng="145764" custScaleX="76989" custLinFactNeighborX="7099" custLinFactNeighborY="-13654"/>
      <dgm:spPr/>
    </dgm:pt>
    <dgm:pt modelId="{3AD5ED9D-F49D-4C43-A0A9-C99F22CF11E4}" type="pres">
      <dgm:prSet presAssocID="{3BE09D3D-CD0F-44C6-823E-970D426F73EF}" presName="node" presStyleLbl="node1" presStyleIdx="1" presStyleCnt="8" custRadScaleRad="106684" custRadScaleInc="65339">
        <dgm:presLayoutVars>
          <dgm:bulletEnabled val="1"/>
        </dgm:presLayoutVars>
      </dgm:prSet>
      <dgm:spPr>
        <a:prstGeom prst="flowChartConnector">
          <a:avLst/>
        </a:prstGeom>
      </dgm:spPr>
    </dgm:pt>
    <dgm:pt modelId="{18EF44C1-1B09-45A3-9F86-B3E860FE2145}" type="pres">
      <dgm:prSet presAssocID="{4379377C-CD1F-4992-BC09-8F725747D1B1}" presName="parTrans" presStyleLbl="bgSibTrans2D1" presStyleIdx="2" presStyleCnt="8" custAng="17930871" custScaleX="74138" custLinFactY="-20635" custLinFactNeighborX="51530" custLinFactNeighborY="-100000"/>
      <dgm:spPr/>
    </dgm:pt>
    <dgm:pt modelId="{ABAC73D0-775D-43F8-A63A-6BC35B2B957C}" type="pres">
      <dgm:prSet presAssocID="{7BF94015-46B1-4413-9C0A-6A75C7CF86CF}" presName="node" presStyleLbl="node1" presStyleIdx="2" presStyleCnt="8" custRadScaleRad="114514" custRadScaleInc="92102">
        <dgm:presLayoutVars>
          <dgm:bulletEnabled val="1"/>
        </dgm:presLayoutVars>
      </dgm:prSet>
      <dgm:spPr>
        <a:prstGeom prst="ellipse">
          <a:avLst/>
        </a:prstGeom>
      </dgm:spPr>
    </dgm:pt>
    <dgm:pt modelId="{5C99E0B7-D8E4-471F-BE85-2007784DDA9A}" type="pres">
      <dgm:prSet presAssocID="{37CCAA52-C978-4B36-9ED2-5EB40F1A33C3}" presName="parTrans" presStyleLbl="bgSibTrans2D1" presStyleIdx="3" presStyleCnt="8" custAng="17449793" custScaleX="76797" custLinFactNeighborX="69722" custLinFactNeighborY="-7176"/>
      <dgm:spPr/>
    </dgm:pt>
    <dgm:pt modelId="{8630A48F-5A9F-4B3C-ACEA-7409937F008D}" type="pres">
      <dgm:prSet presAssocID="{1E538E14-3842-45C8-8FF9-B059354D03A6}" presName="node" presStyleLbl="node1" presStyleIdx="3" presStyleCnt="8" custRadScaleRad="113601" custRadScaleInc="129845">
        <dgm:presLayoutVars>
          <dgm:bulletEnabled val="1"/>
        </dgm:presLayoutVars>
      </dgm:prSet>
      <dgm:spPr>
        <a:prstGeom prst="ellipse">
          <a:avLst/>
        </a:prstGeom>
      </dgm:spPr>
    </dgm:pt>
    <dgm:pt modelId="{F12D7749-4968-42B6-A8E6-CEAE85F30918}" type="pres">
      <dgm:prSet presAssocID="{38A3D7E3-D49D-4311-9594-C534FE424D97}" presName="parTrans" presStyleLbl="bgSibTrans2D1" presStyleIdx="4" presStyleCnt="8" custAng="17267200" custLinFactNeighborX="46664" custLinFactNeighborY="57303"/>
      <dgm:spPr/>
    </dgm:pt>
    <dgm:pt modelId="{E072034D-C4FD-4594-95D3-E11D618C1FF9}" type="pres">
      <dgm:prSet presAssocID="{9F3DB7DA-CD46-4AD9-9B72-880CBAA3F7DF}" presName="node" presStyleLbl="node1" presStyleIdx="4" presStyleCnt="8" custRadScaleRad="101161" custRadScaleInc="151537">
        <dgm:presLayoutVars>
          <dgm:bulletEnabled val="1"/>
        </dgm:presLayoutVars>
      </dgm:prSet>
      <dgm:spPr>
        <a:prstGeom prst="ellipse">
          <a:avLst/>
        </a:prstGeom>
      </dgm:spPr>
    </dgm:pt>
    <dgm:pt modelId="{FDFD4987-3B35-4537-BEDE-1AF5260297B9}" type="pres">
      <dgm:prSet presAssocID="{C94807D4-21DC-4539-A31A-195EEC100605}" presName="parTrans" presStyleLbl="bgSibTrans2D1" presStyleIdx="5" presStyleCnt="8" custAng="17617352" custScaleX="83231" custLinFactY="49215" custLinFactNeighborX="-43663" custLinFactNeighborY="100000"/>
      <dgm:spPr/>
    </dgm:pt>
    <dgm:pt modelId="{19303978-3FF2-4524-9D2A-9AF4A3CA578F}" type="pres">
      <dgm:prSet presAssocID="{7194A3D6-C3C9-4B45-A824-ED5E5E233536}" presName="node" presStyleLbl="node1" presStyleIdx="5" presStyleCnt="8" custRadScaleRad="37774" custRadScaleInc="396016">
        <dgm:presLayoutVars>
          <dgm:bulletEnabled val="1"/>
        </dgm:presLayoutVars>
      </dgm:prSet>
      <dgm:spPr>
        <a:prstGeom prst="ellipse">
          <a:avLst/>
        </a:prstGeom>
      </dgm:spPr>
    </dgm:pt>
    <dgm:pt modelId="{F469B20B-99B5-4F54-B111-E714BAB43F96}" type="pres">
      <dgm:prSet presAssocID="{10BDA815-28B9-48C0-9665-DA13B7B833AE}" presName="parTrans" presStyleLbl="bgSibTrans2D1" presStyleIdx="6" presStyleCnt="8" custAng="17310252" custScaleX="54335" custLinFactY="89833" custLinFactNeighborX="2611" custLinFactNeighborY="100000"/>
      <dgm:spPr/>
    </dgm:pt>
    <dgm:pt modelId="{F33E6C79-93EA-4221-A288-AC4AD3589FC6}" type="pres">
      <dgm:prSet presAssocID="{A315F2E7-9737-4669-BF79-58AA3F9D85C9}" presName="node" presStyleLbl="node1" presStyleIdx="6" presStyleCnt="8" custRadScaleRad="75776" custRadScaleInc="57922">
        <dgm:presLayoutVars>
          <dgm:bulletEnabled val="1"/>
        </dgm:presLayoutVars>
      </dgm:prSet>
      <dgm:spPr>
        <a:prstGeom prst="ellipse">
          <a:avLst/>
        </a:prstGeom>
      </dgm:spPr>
    </dgm:pt>
    <dgm:pt modelId="{39A31AF0-5B4E-4E09-91F1-AC926777722E}" type="pres">
      <dgm:prSet presAssocID="{6A46E58E-B8B2-46ED-ADB9-7A85A6CA8AF5}" presName="parTrans" presStyleLbl="bgSibTrans2D1" presStyleIdx="7" presStyleCnt="8" custAng="17221598" custScaleX="65968" custLinFactNeighborX="-73047" custLinFactNeighborY="21766"/>
      <dgm:spPr/>
    </dgm:pt>
    <dgm:pt modelId="{E93D1440-D3F5-4BE5-9FBD-2B11BAE0C6AD}" type="pres">
      <dgm:prSet presAssocID="{0296AA14-EBA0-4C9E-A8F3-6BA3523EDF28}" presName="node" presStyleLbl="node1" presStyleIdx="7" presStyleCnt="8" custRadScaleRad="42011" custRadScaleInc="651841">
        <dgm:presLayoutVars>
          <dgm:bulletEnabled val="1"/>
        </dgm:presLayoutVars>
      </dgm:prSet>
      <dgm:spPr>
        <a:prstGeom prst="ellipse">
          <a:avLst/>
        </a:prstGeom>
      </dgm:spPr>
    </dgm:pt>
  </dgm:ptLst>
  <dgm:cxnLst>
    <dgm:cxn modelId="{F601D60B-750B-452B-8DF1-01867F3B96A7}" type="presOf" srcId="{7BF94015-46B1-4413-9C0A-6A75C7CF86CF}" destId="{ABAC73D0-775D-43F8-A63A-6BC35B2B957C}" srcOrd="0" destOrd="0" presId="urn:microsoft.com/office/officeart/2005/8/layout/radial4"/>
    <dgm:cxn modelId="{D280960F-199B-4A67-8C9D-9AC082C56CEB}" type="presOf" srcId="{A315F2E7-9737-4669-BF79-58AA3F9D85C9}" destId="{F33E6C79-93EA-4221-A288-AC4AD3589FC6}" srcOrd="0" destOrd="0" presId="urn:microsoft.com/office/officeart/2005/8/layout/radial4"/>
    <dgm:cxn modelId="{B3BD8A10-D68F-4AA8-8DE5-558E7B5F8C83}" srcId="{06B682B8-911B-422E-A856-E4B93037C63A}" destId="{A315F2E7-9737-4669-BF79-58AA3F9D85C9}" srcOrd="6" destOrd="0" parTransId="{10BDA815-28B9-48C0-9665-DA13B7B833AE}" sibTransId="{3DD9FD26-1772-4209-9132-155015A51CC4}"/>
    <dgm:cxn modelId="{341E9E16-BA7F-4461-9B1E-6C29670DEE22}" srcId="{06B682B8-911B-422E-A856-E4B93037C63A}" destId="{3BE09D3D-CD0F-44C6-823E-970D426F73EF}" srcOrd="1" destOrd="0" parTransId="{78C10885-DD2A-4E62-B3B1-0675B73174F1}" sibTransId="{08BE4682-8D09-47F6-B13A-2412F1ACF3B5}"/>
    <dgm:cxn modelId="{9169A317-2F42-4204-B882-99B64FF31782}" type="presOf" srcId="{80517D40-1A9F-46BA-9C32-76B30D786B1A}" destId="{CF69AD99-32F2-46CB-95E1-5F7610F46CB8}" srcOrd="0" destOrd="0" presId="urn:microsoft.com/office/officeart/2005/8/layout/radial4"/>
    <dgm:cxn modelId="{4A58F625-C941-48F3-9045-5CFA54E3F5E7}" type="presOf" srcId="{C94807D4-21DC-4539-A31A-195EEC100605}" destId="{FDFD4987-3B35-4537-BEDE-1AF5260297B9}" srcOrd="0" destOrd="0" presId="urn:microsoft.com/office/officeart/2005/8/layout/radial4"/>
    <dgm:cxn modelId="{70F97431-5B73-49F6-AE1D-DD323F4675B1}" type="presOf" srcId="{37CCAA52-C978-4B36-9ED2-5EB40F1A33C3}" destId="{5C99E0B7-D8E4-471F-BE85-2007784DDA9A}" srcOrd="0" destOrd="0" presId="urn:microsoft.com/office/officeart/2005/8/layout/radial4"/>
    <dgm:cxn modelId="{8C1C7632-BC27-46C4-827A-BC6FB5C974BF}" type="presOf" srcId="{38A3D7E3-D49D-4311-9594-C534FE424D97}" destId="{F12D7749-4968-42B6-A8E6-CEAE85F30918}" srcOrd="0" destOrd="0" presId="urn:microsoft.com/office/officeart/2005/8/layout/radial4"/>
    <dgm:cxn modelId="{14242743-EE08-4C20-A094-4FDB0AC2C2BB}" srcId="{06B682B8-911B-422E-A856-E4B93037C63A}" destId="{9F3DB7DA-CD46-4AD9-9B72-880CBAA3F7DF}" srcOrd="4" destOrd="0" parTransId="{38A3D7E3-D49D-4311-9594-C534FE424D97}" sibTransId="{F207A7BC-10C1-4824-BFDF-7583B4A05E80}"/>
    <dgm:cxn modelId="{B513ED45-6881-43F9-AE92-4A9D5FBF2E1B}" srcId="{80517D40-1A9F-46BA-9C32-76B30D786B1A}" destId="{06B682B8-911B-422E-A856-E4B93037C63A}" srcOrd="0" destOrd="0" parTransId="{9D7C90F6-F4A0-4EFF-8256-8BB494CD750C}" sibTransId="{6086B8A5-FB9B-4756-B3F4-B45A041C12D9}"/>
    <dgm:cxn modelId="{44D5646E-EEF6-4257-B561-856DBE2AAAC7}" srcId="{06B682B8-911B-422E-A856-E4B93037C63A}" destId="{0296AA14-EBA0-4C9E-A8F3-6BA3523EDF28}" srcOrd="7" destOrd="0" parTransId="{6A46E58E-B8B2-46ED-ADB9-7A85A6CA8AF5}" sibTransId="{01E166E4-AB13-4899-85AD-2E53B64B2146}"/>
    <dgm:cxn modelId="{8FB1B170-4CE9-42A0-A3C2-77B74C2B71D5}" type="presOf" srcId="{3BE09D3D-CD0F-44C6-823E-970D426F73EF}" destId="{3AD5ED9D-F49D-4C43-A0A9-C99F22CF11E4}" srcOrd="0" destOrd="0" presId="urn:microsoft.com/office/officeart/2005/8/layout/radial4"/>
    <dgm:cxn modelId="{51634789-DD9A-4EE0-B16A-8AF49A4B3DE4}" srcId="{06B682B8-911B-422E-A856-E4B93037C63A}" destId="{7BF94015-46B1-4413-9C0A-6A75C7CF86CF}" srcOrd="2" destOrd="0" parTransId="{4379377C-CD1F-4992-BC09-8F725747D1B1}" sibTransId="{D53A1A94-06E3-44A8-BEEC-ADC1A63EA721}"/>
    <dgm:cxn modelId="{5875188E-4C45-4DBB-BB8B-0C75AFBFDC2B}" type="presOf" srcId="{06B682B8-911B-422E-A856-E4B93037C63A}" destId="{DDCD648B-6CC8-4887-96B1-56EF53E5EE8F}" srcOrd="0" destOrd="0" presId="urn:microsoft.com/office/officeart/2005/8/layout/radial4"/>
    <dgm:cxn modelId="{64F82294-E137-415E-9662-2DCF2F283455}" type="presOf" srcId="{6A46E58E-B8B2-46ED-ADB9-7A85A6CA8AF5}" destId="{39A31AF0-5B4E-4E09-91F1-AC926777722E}" srcOrd="0" destOrd="0" presId="urn:microsoft.com/office/officeart/2005/8/layout/radial4"/>
    <dgm:cxn modelId="{FB7CE197-653E-4132-9ED2-F353DC2A4EB7}" srcId="{06B682B8-911B-422E-A856-E4B93037C63A}" destId="{85992455-7E90-4BD7-BCD9-FB30F0D0F736}" srcOrd="0" destOrd="0" parTransId="{1396993A-7927-403E-B37C-AF9D4A85DA58}" sibTransId="{C0D70182-236F-4599-AC59-ABACA5C7EE0C}"/>
    <dgm:cxn modelId="{7565A59C-5145-4959-9091-AE5FECE8DF9D}" type="presOf" srcId="{7194A3D6-C3C9-4B45-A824-ED5E5E233536}" destId="{19303978-3FF2-4524-9D2A-9AF4A3CA578F}" srcOrd="0" destOrd="0" presId="urn:microsoft.com/office/officeart/2005/8/layout/radial4"/>
    <dgm:cxn modelId="{62AAA4A0-5C3D-49F9-9A30-CF27676CCABB}" srcId="{06B682B8-911B-422E-A856-E4B93037C63A}" destId="{1E538E14-3842-45C8-8FF9-B059354D03A6}" srcOrd="3" destOrd="0" parTransId="{37CCAA52-C978-4B36-9ED2-5EB40F1A33C3}" sibTransId="{9E9B93D6-E3C0-4AA0-88B7-5FA0DEEA2A2C}"/>
    <dgm:cxn modelId="{E7F13AA4-4F04-4067-8B0C-A3DF6F220E2B}" type="presOf" srcId="{4379377C-CD1F-4992-BC09-8F725747D1B1}" destId="{18EF44C1-1B09-45A3-9F86-B3E860FE2145}" srcOrd="0" destOrd="0" presId="urn:microsoft.com/office/officeart/2005/8/layout/radial4"/>
    <dgm:cxn modelId="{19D572BC-97A5-444D-8A3C-6499633A694D}" type="presOf" srcId="{9F3DB7DA-CD46-4AD9-9B72-880CBAA3F7DF}" destId="{E072034D-C4FD-4594-95D3-E11D618C1FF9}" srcOrd="0" destOrd="0" presId="urn:microsoft.com/office/officeart/2005/8/layout/radial4"/>
    <dgm:cxn modelId="{9FB280C7-F224-4243-8689-6D09F0B64397}" type="presOf" srcId="{1396993A-7927-403E-B37C-AF9D4A85DA58}" destId="{ACA5EFB4-6157-4FFA-A6BB-203BB60D79A5}" srcOrd="0" destOrd="0" presId="urn:microsoft.com/office/officeart/2005/8/layout/radial4"/>
    <dgm:cxn modelId="{F16E96D3-DD8E-44B5-BF05-198A0684D475}" type="presOf" srcId="{85992455-7E90-4BD7-BCD9-FB30F0D0F736}" destId="{4C719402-EE18-4852-8D6C-09D5D6FA930C}" srcOrd="0" destOrd="0" presId="urn:microsoft.com/office/officeart/2005/8/layout/radial4"/>
    <dgm:cxn modelId="{30B74EDA-F5E5-4859-BA57-1F1400002B0B}" srcId="{06B682B8-911B-422E-A856-E4B93037C63A}" destId="{7194A3D6-C3C9-4B45-A824-ED5E5E233536}" srcOrd="5" destOrd="0" parTransId="{C94807D4-21DC-4539-A31A-195EEC100605}" sibTransId="{051274FA-2AF4-4F65-8331-963E098E6053}"/>
    <dgm:cxn modelId="{209929E6-1A70-4D66-8E69-9FC443C10A1D}" type="presOf" srcId="{0296AA14-EBA0-4C9E-A8F3-6BA3523EDF28}" destId="{E93D1440-D3F5-4BE5-9FBD-2B11BAE0C6AD}" srcOrd="0" destOrd="0" presId="urn:microsoft.com/office/officeart/2005/8/layout/radial4"/>
    <dgm:cxn modelId="{302158EE-2756-442E-BD76-37EA14B54797}" type="presOf" srcId="{1E538E14-3842-45C8-8FF9-B059354D03A6}" destId="{8630A48F-5A9F-4B3C-ACEA-7409937F008D}" srcOrd="0" destOrd="0" presId="urn:microsoft.com/office/officeart/2005/8/layout/radial4"/>
    <dgm:cxn modelId="{49F541F4-F5DF-4552-AEB8-EF830599F45A}" type="presOf" srcId="{10BDA815-28B9-48C0-9665-DA13B7B833AE}" destId="{F469B20B-99B5-4F54-B111-E714BAB43F96}" srcOrd="0" destOrd="0" presId="urn:microsoft.com/office/officeart/2005/8/layout/radial4"/>
    <dgm:cxn modelId="{67B48BFD-616B-4E3B-B99F-C2F87A745139}" type="presOf" srcId="{78C10885-DD2A-4E62-B3B1-0675B73174F1}" destId="{8EA20085-E5A1-4E18-A875-2AD69E1C8AEE}" srcOrd="0" destOrd="0" presId="urn:microsoft.com/office/officeart/2005/8/layout/radial4"/>
    <dgm:cxn modelId="{829FE7CF-C988-4AFE-A081-448E6B396125}" type="presParOf" srcId="{CF69AD99-32F2-46CB-95E1-5F7610F46CB8}" destId="{DDCD648B-6CC8-4887-96B1-56EF53E5EE8F}" srcOrd="0" destOrd="0" presId="urn:microsoft.com/office/officeart/2005/8/layout/radial4"/>
    <dgm:cxn modelId="{44156A88-DA77-478D-A1B4-971368CCD663}" type="presParOf" srcId="{CF69AD99-32F2-46CB-95E1-5F7610F46CB8}" destId="{ACA5EFB4-6157-4FFA-A6BB-203BB60D79A5}" srcOrd="1" destOrd="0" presId="urn:microsoft.com/office/officeart/2005/8/layout/radial4"/>
    <dgm:cxn modelId="{E6AF1031-9206-4901-A2CE-6DA07649E54A}" type="presParOf" srcId="{CF69AD99-32F2-46CB-95E1-5F7610F46CB8}" destId="{4C719402-EE18-4852-8D6C-09D5D6FA930C}" srcOrd="2" destOrd="0" presId="urn:microsoft.com/office/officeart/2005/8/layout/radial4"/>
    <dgm:cxn modelId="{56E15B40-8D95-4516-B8E7-5910993EA997}" type="presParOf" srcId="{CF69AD99-32F2-46CB-95E1-5F7610F46CB8}" destId="{8EA20085-E5A1-4E18-A875-2AD69E1C8AEE}" srcOrd="3" destOrd="0" presId="urn:microsoft.com/office/officeart/2005/8/layout/radial4"/>
    <dgm:cxn modelId="{02BE0253-F7FD-4578-B3BA-15D8694DC7A5}" type="presParOf" srcId="{CF69AD99-32F2-46CB-95E1-5F7610F46CB8}" destId="{3AD5ED9D-F49D-4C43-A0A9-C99F22CF11E4}" srcOrd="4" destOrd="0" presId="urn:microsoft.com/office/officeart/2005/8/layout/radial4"/>
    <dgm:cxn modelId="{15B32C52-76A5-4B7C-ABB7-2A9337FC5B36}" type="presParOf" srcId="{CF69AD99-32F2-46CB-95E1-5F7610F46CB8}" destId="{18EF44C1-1B09-45A3-9F86-B3E860FE2145}" srcOrd="5" destOrd="0" presId="urn:microsoft.com/office/officeart/2005/8/layout/radial4"/>
    <dgm:cxn modelId="{950B11A0-54D1-437C-B509-F6B82638D2D2}" type="presParOf" srcId="{CF69AD99-32F2-46CB-95E1-5F7610F46CB8}" destId="{ABAC73D0-775D-43F8-A63A-6BC35B2B957C}" srcOrd="6" destOrd="0" presId="urn:microsoft.com/office/officeart/2005/8/layout/radial4"/>
    <dgm:cxn modelId="{0726861E-C5F4-4A41-9A1D-E462717EE430}" type="presParOf" srcId="{CF69AD99-32F2-46CB-95E1-5F7610F46CB8}" destId="{5C99E0B7-D8E4-471F-BE85-2007784DDA9A}" srcOrd="7" destOrd="0" presId="urn:microsoft.com/office/officeart/2005/8/layout/radial4"/>
    <dgm:cxn modelId="{356E57F8-A714-4A0D-9530-6F22D54ED5E4}" type="presParOf" srcId="{CF69AD99-32F2-46CB-95E1-5F7610F46CB8}" destId="{8630A48F-5A9F-4B3C-ACEA-7409937F008D}" srcOrd="8" destOrd="0" presId="urn:microsoft.com/office/officeart/2005/8/layout/radial4"/>
    <dgm:cxn modelId="{27ECF4EE-5EA9-46E6-94FA-36D3EFB0507F}" type="presParOf" srcId="{CF69AD99-32F2-46CB-95E1-5F7610F46CB8}" destId="{F12D7749-4968-42B6-A8E6-CEAE85F30918}" srcOrd="9" destOrd="0" presId="urn:microsoft.com/office/officeart/2005/8/layout/radial4"/>
    <dgm:cxn modelId="{0BD95690-395E-4750-A4A6-531877C55593}" type="presParOf" srcId="{CF69AD99-32F2-46CB-95E1-5F7610F46CB8}" destId="{E072034D-C4FD-4594-95D3-E11D618C1FF9}" srcOrd="10" destOrd="0" presId="urn:microsoft.com/office/officeart/2005/8/layout/radial4"/>
    <dgm:cxn modelId="{E9AA61BF-9977-49FE-AB20-99A4C128ADE5}" type="presParOf" srcId="{CF69AD99-32F2-46CB-95E1-5F7610F46CB8}" destId="{FDFD4987-3B35-4537-BEDE-1AF5260297B9}" srcOrd="11" destOrd="0" presId="urn:microsoft.com/office/officeart/2005/8/layout/radial4"/>
    <dgm:cxn modelId="{F25C8E88-A40D-445E-8398-70D72B186BC4}" type="presParOf" srcId="{CF69AD99-32F2-46CB-95E1-5F7610F46CB8}" destId="{19303978-3FF2-4524-9D2A-9AF4A3CA578F}" srcOrd="12" destOrd="0" presId="urn:microsoft.com/office/officeart/2005/8/layout/radial4"/>
    <dgm:cxn modelId="{66D9AC44-BC74-4EA2-92AE-D8445E859C58}" type="presParOf" srcId="{CF69AD99-32F2-46CB-95E1-5F7610F46CB8}" destId="{F469B20B-99B5-4F54-B111-E714BAB43F96}" srcOrd="13" destOrd="0" presId="urn:microsoft.com/office/officeart/2005/8/layout/radial4"/>
    <dgm:cxn modelId="{FF5C370A-7570-46A8-999B-50A245B43664}" type="presParOf" srcId="{CF69AD99-32F2-46CB-95E1-5F7610F46CB8}" destId="{F33E6C79-93EA-4221-A288-AC4AD3589FC6}" srcOrd="14" destOrd="0" presId="urn:microsoft.com/office/officeart/2005/8/layout/radial4"/>
    <dgm:cxn modelId="{5CE1F89C-2466-435D-911E-38A1B9388A7D}" type="presParOf" srcId="{CF69AD99-32F2-46CB-95E1-5F7610F46CB8}" destId="{39A31AF0-5B4E-4E09-91F1-AC926777722E}" srcOrd="15" destOrd="0" presId="urn:microsoft.com/office/officeart/2005/8/layout/radial4"/>
    <dgm:cxn modelId="{B592B654-DF37-45AC-ABFE-208638C2854D}" type="presParOf" srcId="{CF69AD99-32F2-46CB-95E1-5F7610F46CB8}" destId="{E93D1440-D3F5-4BE5-9FBD-2B11BAE0C6AD}" srcOrd="16" destOrd="0" presId="urn:microsoft.com/office/officeart/2005/8/layout/radial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CD648B-6CC8-4887-96B1-56EF53E5EE8F}">
      <dsp:nvSpPr>
        <dsp:cNvPr id="0" name=""/>
        <dsp:cNvSpPr/>
      </dsp:nvSpPr>
      <dsp:spPr>
        <a:xfrm>
          <a:off x="1892816" y="1086121"/>
          <a:ext cx="1433009" cy="1350904"/>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r>
            <a:rPr lang="en-GB" sz="2100" kern="1200" dirty="0"/>
            <a:t>PWA Variation Approval</a:t>
          </a:r>
        </a:p>
      </dsp:txBody>
      <dsp:txXfrm>
        <a:off x="2102675" y="1283956"/>
        <a:ext cx="1013291" cy="955234"/>
      </dsp:txXfrm>
    </dsp:sp>
    <dsp:sp modelId="{ACA5EFB4-6157-4FFA-A6BB-203BB60D79A5}">
      <dsp:nvSpPr>
        <dsp:cNvPr id="0" name=""/>
        <dsp:cNvSpPr/>
      </dsp:nvSpPr>
      <dsp:spPr>
        <a:xfrm rot="5400000">
          <a:off x="501343" y="1753425"/>
          <a:ext cx="620168"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C719402-EE18-4852-8D6C-09D5D6FA930C}">
      <dsp:nvSpPr>
        <dsp:cNvPr id="0" name=""/>
        <dsp:cNvSpPr/>
      </dsp:nvSpPr>
      <dsp:spPr>
        <a:xfrm>
          <a:off x="415732" y="2067487"/>
          <a:ext cx="809257" cy="6474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7</a:t>
          </a:r>
        </a:p>
        <a:p>
          <a:pPr marL="0" lvl="0" indent="0" algn="ctr" defTabSz="311150">
            <a:lnSpc>
              <a:spcPct val="90000"/>
            </a:lnSpc>
            <a:spcBef>
              <a:spcPct val="0"/>
            </a:spcBef>
            <a:spcAft>
              <a:spcPct val="35000"/>
            </a:spcAft>
            <a:buNone/>
          </a:pPr>
          <a:r>
            <a:rPr lang="en-GB" sz="700" kern="1200" dirty="0"/>
            <a:t>Consultee Agreement</a:t>
          </a:r>
        </a:p>
      </dsp:txBody>
      <dsp:txXfrm>
        <a:off x="534245" y="2162297"/>
        <a:ext cx="572231" cy="457785"/>
      </dsp:txXfrm>
    </dsp:sp>
    <dsp:sp modelId="{8EA20085-E5A1-4E18-A875-2AD69E1C8AEE}">
      <dsp:nvSpPr>
        <dsp:cNvPr id="0" name=""/>
        <dsp:cNvSpPr/>
      </dsp:nvSpPr>
      <dsp:spPr>
        <a:xfrm rot="11927398">
          <a:off x="1000772" y="1179918"/>
          <a:ext cx="837761"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AD5ED9D-F49D-4C43-A0A9-C99F22CF11E4}">
      <dsp:nvSpPr>
        <dsp:cNvPr id="0" name=""/>
        <dsp:cNvSpPr/>
      </dsp:nvSpPr>
      <dsp:spPr>
        <a:xfrm>
          <a:off x="415727" y="912688"/>
          <a:ext cx="809257" cy="647405"/>
        </a:xfrm>
        <a:prstGeom prst="flowChartConnector">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8</a:t>
          </a:r>
        </a:p>
        <a:p>
          <a:pPr marL="0" lvl="0" indent="0" algn="ctr" defTabSz="311150">
            <a:lnSpc>
              <a:spcPct val="90000"/>
            </a:lnSpc>
            <a:spcBef>
              <a:spcPct val="0"/>
            </a:spcBef>
            <a:spcAft>
              <a:spcPct val="35000"/>
            </a:spcAft>
            <a:buNone/>
          </a:pPr>
          <a:r>
            <a:rPr lang="en-GB" sz="700" kern="1200" dirty="0"/>
            <a:t>Legal Consent Document</a:t>
          </a:r>
        </a:p>
      </dsp:txBody>
      <dsp:txXfrm>
        <a:off x="534240" y="1007498"/>
        <a:ext cx="572231" cy="457785"/>
      </dsp:txXfrm>
    </dsp:sp>
    <dsp:sp modelId="{18EF44C1-1B09-45A3-9F86-B3E860FE2145}">
      <dsp:nvSpPr>
        <dsp:cNvPr id="0" name=""/>
        <dsp:cNvSpPr/>
      </dsp:nvSpPr>
      <dsp:spPr>
        <a:xfrm rot="10800000">
          <a:off x="2171022" y="176128"/>
          <a:ext cx="642595"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AC73D0-775D-43F8-A63A-6BC35B2B957C}">
      <dsp:nvSpPr>
        <dsp:cNvPr id="0" name=""/>
        <dsp:cNvSpPr/>
      </dsp:nvSpPr>
      <dsp:spPr>
        <a:xfrm>
          <a:off x="1431953" y="35041"/>
          <a:ext cx="809257" cy="6474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1 </a:t>
          </a:r>
        </a:p>
        <a:p>
          <a:pPr marL="0" lvl="0" indent="0" algn="ctr" defTabSz="311150">
            <a:lnSpc>
              <a:spcPct val="90000"/>
            </a:lnSpc>
            <a:spcBef>
              <a:spcPct val="0"/>
            </a:spcBef>
            <a:spcAft>
              <a:spcPct val="35000"/>
            </a:spcAft>
            <a:buNone/>
          </a:pPr>
          <a:r>
            <a:rPr lang="en-GB" sz="700" kern="1200" dirty="0"/>
            <a:t>Initial Meeting</a:t>
          </a:r>
        </a:p>
      </dsp:txBody>
      <dsp:txXfrm>
        <a:off x="1550466" y="129851"/>
        <a:ext cx="572231" cy="457785"/>
      </dsp:txXfrm>
    </dsp:sp>
    <dsp:sp modelId="{5C99E0B7-D8E4-471F-BE85-2007784DDA9A}">
      <dsp:nvSpPr>
        <dsp:cNvPr id="0" name=""/>
        <dsp:cNvSpPr/>
      </dsp:nvSpPr>
      <dsp:spPr>
        <a:xfrm rot="13651508">
          <a:off x="3389004" y="544805"/>
          <a:ext cx="643746"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630A48F-5A9F-4B3C-ACEA-7409937F008D}">
      <dsp:nvSpPr>
        <dsp:cNvPr id="0" name=""/>
        <dsp:cNvSpPr/>
      </dsp:nvSpPr>
      <dsp:spPr>
        <a:xfrm>
          <a:off x="2910097" y="35041"/>
          <a:ext cx="809257" cy="6474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2</a:t>
          </a:r>
        </a:p>
        <a:p>
          <a:pPr marL="0" lvl="0" indent="0" algn="ctr" defTabSz="311150">
            <a:lnSpc>
              <a:spcPct val="90000"/>
            </a:lnSpc>
            <a:spcBef>
              <a:spcPct val="0"/>
            </a:spcBef>
            <a:spcAft>
              <a:spcPct val="35000"/>
            </a:spcAft>
            <a:buNone/>
          </a:pPr>
          <a:r>
            <a:rPr lang="en-GB" sz="700" kern="1200" dirty="0"/>
            <a:t>COP Document Review</a:t>
          </a:r>
        </a:p>
      </dsp:txBody>
      <dsp:txXfrm>
        <a:off x="3028610" y="129851"/>
        <a:ext cx="572231" cy="457785"/>
      </dsp:txXfrm>
    </dsp:sp>
    <dsp:sp modelId="{F12D7749-4968-42B6-A8E6-CEAE85F30918}">
      <dsp:nvSpPr>
        <dsp:cNvPr id="0" name=""/>
        <dsp:cNvSpPr/>
      </dsp:nvSpPr>
      <dsp:spPr>
        <a:xfrm rot="16200000">
          <a:off x="3757766" y="1407105"/>
          <a:ext cx="943757"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072034D-C4FD-4594-95D3-E11D618C1FF9}">
      <dsp:nvSpPr>
        <dsp:cNvPr id="0" name=""/>
        <dsp:cNvSpPr/>
      </dsp:nvSpPr>
      <dsp:spPr>
        <a:xfrm>
          <a:off x="3833944" y="915194"/>
          <a:ext cx="809257" cy="6474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3</a:t>
          </a:r>
        </a:p>
        <a:p>
          <a:pPr marL="0" lvl="0" indent="0" algn="ctr" defTabSz="311150">
            <a:lnSpc>
              <a:spcPct val="90000"/>
            </a:lnSpc>
            <a:spcBef>
              <a:spcPct val="0"/>
            </a:spcBef>
            <a:spcAft>
              <a:spcPct val="35000"/>
            </a:spcAft>
            <a:buNone/>
          </a:pPr>
          <a:r>
            <a:rPr lang="en-GB" sz="700" kern="1200" dirty="0"/>
            <a:t>Draft Application</a:t>
          </a:r>
        </a:p>
      </dsp:txBody>
      <dsp:txXfrm>
        <a:off x="3952457" y="1010004"/>
        <a:ext cx="572231" cy="457785"/>
      </dsp:txXfrm>
    </dsp:sp>
    <dsp:sp modelId="{FDFD4987-3B35-4537-BEDE-1AF5260297B9}">
      <dsp:nvSpPr>
        <dsp:cNvPr id="0" name=""/>
        <dsp:cNvSpPr/>
      </dsp:nvSpPr>
      <dsp:spPr>
        <a:xfrm rot="21600000">
          <a:off x="2309597" y="3178609"/>
          <a:ext cx="757860"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9303978-3FF2-4524-9D2A-9AF4A3CA578F}">
      <dsp:nvSpPr>
        <dsp:cNvPr id="0" name=""/>
        <dsp:cNvSpPr/>
      </dsp:nvSpPr>
      <dsp:spPr>
        <a:xfrm>
          <a:off x="2863906" y="2945135"/>
          <a:ext cx="809257" cy="6474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5</a:t>
          </a:r>
        </a:p>
        <a:p>
          <a:pPr marL="0" lvl="0" indent="0" algn="ctr" defTabSz="311150">
            <a:lnSpc>
              <a:spcPct val="90000"/>
            </a:lnSpc>
            <a:spcBef>
              <a:spcPct val="0"/>
            </a:spcBef>
            <a:spcAft>
              <a:spcPct val="35000"/>
            </a:spcAft>
            <a:buNone/>
          </a:pPr>
          <a:r>
            <a:rPr lang="en-GB" sz="700" kern="1200" dirty="0"/>
            <a:t>Environmental Permit Submissions</a:t>
          </a:r>
        </a:p>
        <a:p>
          <a:pPr marL="0" lvl="0" indent="0" algn="ctr" defTabSz="311150">
            <a:lnSpc>
              <a:spcPct val="90000"/>
            </a:lnSpc>
            <a:spcBef>
              <a:spcPct val="0"/>
            </a:spcBef>
            <a:spcAft>
              <a:spcPct val="35000"/>
            </a:spcAft>
            <a:buNone/>
          </a:pPr>
          <a:r>
            <a:rPr lang="en-GB" sz="700" kern="1200" dirty="0"/>
            <a:t>BEIS</a:t>
          </a:r>
        </a:p>
      </dsp:txBody>
      <dsp:txXfrm>
        <a:off x="2982419" y="3039945"/>
        <a:ext cx="572231" cy="457785"/>
      </dsp:txXfrm>
    </dsp:sp>
    <dsp:sp modelId="{F469B20B-99B5-4F54-B111-E714BAB43F96}">
      <dsp:nvSpPr>
        <dsp:cNvPr id="0" name=""/>
        <dsp:cNvSpPr/>
      </dsp:nvSpPr>
      <dsp:spPr>
        <a:xfrm rot="18582596">
          <a:off x="3541201" y="2677216"/>
          <a:ext cx="532397"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33E6C79-93EA-4221-A288-AC4AD3589FC6}">
      <dsp:nvSpPr>
        <dsp:cNvPr id="0" name=""/>
        <dsp:cNvSpPr/>
      </dsp:nvSpPr>
      <dsp:spPr>
        <a:xfrm>
          <a:off x="3833935" y="2070000"/>
          <a:ext cx="809257" cy="6474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4</a:t>
          </a:r>
        </a:p>
        <a:p>
          <a:pPr marL="0" lvl="0" indent="0" algn="ctr" defTabSz="311150">
            <a:lnSpc>
              <a:spcPct val="90000"/>
            </a:lnSpc>
            <a:spcBef>
              <a:spcPct val="0"/>
            </a:spcBef>
            <a:spcAft>
              <a:spcPct val="35000"/>
            </a:spcAft>
            <a:buNone/>
          </a:pPr>
          <a:r>
            <a:rPr lang="en-GB" sz="700" kern="1200" dirty="0"/>
            <a:t>Final Satisfactory Application</a:t>
          </a:r>
        </a:p>
      </dsp:txBody>
      <dsp:txXfrm>
        <a:off x="3952448" y="2164810"/>
        <a:ext cx="572231" cy="457785"/>
      </dsp:txXfrm>
    </dsp:sp>
    <dsp:sp modelId="{39A31AF0-5B4E-4E09-91F1-AC926777722E}">
      <dsp:nvSpPr>
        <dsp:cNvPr id="0" name=""/>
        <dsp:cNvSpPr/>
      </dsp:nvSpPr>
      <dsp:spPr>
        <a:xfrm rot="2650186">
          <a:off x="1041977" y="2750982"/>
          <a:ext cx="629875" cy="329483"/>
        </a:xfrm>
        <a:prstGeom prst="lef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93D1440-D3F5-4BE5-9FBD-2B11BAE0C6AD}">
      <dsp:nvSpPr>
        <dsp:cNvPr id="0" name=""/>
        <dsp:cNvSpPr/>
      </dsp:nvSpPr>
      <dsp:spPr>
        <a:xfrm>
          <a:off x="1431952" y="2945138"/>
          <a:ext cx="809257" cy="647405"/>
        </a:xfrm>
        <a:prstGeom prst="ellipse">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311150">
            <a:lnSpc>
              <a:spcPct val="90000"/>
            </a:lnSpc>
            <a:spcBef>
              <a:spcPct val="0"/>
            </a:spcBef>
            <a:spcAft>
              <a:spcPct val="35000"/>
            </a:spcAft>
            <a:buNone/>
          </a:pPr>
          <a:r>
            <a:rPr lang="en-GB" sz="700" kern="1200" dirty="0"/>
            <a:t>6</a:t>
          </a:r>
        </a:p>
        <a:p>
          <a:pPr marL="0" lvl="0" indent="0" algn="ctr" defTabSz="311150">
            <a:lnSpc>
              <a:spcPct val="90000"/>
            </a:lnSpc>
            <a:spcBef>
              <a:spcPct val="0"/>
            </a:spcBef>
            <a:spcAft>
              <a:spcPct val="35000"/>
            </a:spcAft>
            <a:buNone/>
          </a:pPr>
          <a:r>
            <a:rPr lang="en-GB" sz="700" kern="1200" dirty="0"/>
            <a:t>Consultation (28 Days)</a:t>
          </a:r>
        </a:p>
      </dsp:txBody>
      <dsp:txXfrm>
        <a:off x="1550465" y="3039948"/>
        <a:ext cx="572231" cy="4577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2016-07-22T00:00:00</PublishDate>
  <Abstract> Guidance and advice document for planning proposed subsea pipeline works associated with decommissioning.</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be45aec-f122-432c-a096-83ee12d526cc" xsi:nil="true"/>
    <fa6d2108ab3c46c1ad0fef0c5bd8d42a xmlns="03c2aa2a-3bd2-4e2d-9874-b99356c97bdc">
      <Terms xmlns="http://schemas.microsoft.com/office/infopath/2007/PartnerControls"/>
    </fa6d2108ab3c46c1ad0fef0c5bd8d42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E04036B6FEAB4C834B124021612B6A" ma:contentTypeVersion="16" ma:contentTypeDescription="Create a new document." ma:contentTypeScope="" ma:versionID="e893d3a411df5e2dbdf00d9b7c518e97">
  <xsd:schema xmlns:xsd="http://www.w3.org/2001/XMLSchema" xmlns:xs="http://www.w3.org/2001/XMLSchema" xmlns:p="http://schemas.microsoft.com/office/2006/metadata/properties" xmlns:ns2="03c2aa2a-3bd2-4e2d-9874-b99356c97bdc" xmlns:ns3="9be45aec-f122-432c-a096-83ee12d526cc" targetNamespace="http://schemas.microsoft.com/office/2006/metadata/properties" ma:root="true" ma:fieldsID="c819866273e045bf44d43116f3af9376" ns2:_="" ns3:_="">
    <xsd:import namespace="03c2aa2a-3bd2-4e2d-9874-b99356c97bdc"/>
    <xsd:import namespace="9be45aec-f122-432c-a096-83ee12d526cc"/>
    <xsd:element name="properties">
      <xsd:complexType>
        <xsd:sequence>
          <xsd:element name="documentManagement">
            <xsd:complexType>
              <xsd:all>
                <xsd:element ref="ns2:fa6d2108ab3c46c1ad0fef0c5bd8d42a"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2aa2a-3bd2-4e2d-9874-b99356c97bdc" elementFormDefault="qualified">
    <xsd:import namespace="http://schemas.microsoft.com/office/2006/documentManagement/types"/>
    <xsd:import namespace="http://schemas.microsoft.com/office/infopath/2007/PartnerControls"/>
    <xsd:element name="fa6d2108ab3c46c1ad0fef0c5bd8d42a" ma:index="9" nillable="true" ma:taxonomy="true" ma:internalName="fa6d2108ab3c46c1ad0fef0c5bd8d42a" ma:taxonomyFieldName="Category" ma:displayName="Category" ma:readOnly="false" ma:default="" ma:fieldId="{fa6d2108-ab3c-46c1-ad0f-ef0c5bd8d42a}" ma:sspId="3110710f-af1f-4457-9596-69bff0e43749" ma:termSetId="3bd2ad5e-fa11-40ed-9055-1d7cb20b531b"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45aec-f122-432c-a096-83ee12d526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e20e8a-d332-4bce-9ca1-623ba39f5385}" ma:internalName="TaxCatchAll" ma:showField="CatchAllData" ma:web="9be45aec-f122-432c-a096-83ee12d526c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A7466B-368F-4330-90D1-6E1173E2816A}">
  <ds:schemaRefs>
    <ds:schemaRef ds:uri="http://schemas.microsoft.com/office/2006/metadata/properties"/>
    <ds:schemaRef ds:uri="http://schemas.microsoft.com/office/infopath/2007/PartnerControls"/>
    <ds:schemaRef ds:uri="9be45aec-f122-432c-a096-83ee12d526cc"/>
    <ds:schemaRef ds:uri="03c2aa2a-3bd2-4e2d-9874-b99356c97bdc"/>
  </ds:schemaRefs>
</ds:datastoreItem>
</file>

<file path=customXml/itemProps3.xml><?xml version="1.0" encoding="utf-8"?>
<ds:datastoreItem xmlns:ds="http://schemas.openxmlformats.org/officeDocument/2006/customXml" ds:itemID="{4B9D1167-D057-450B-8C65-D3B0F1E9AFC8}">
  <ds:schemaRefs>
    <ds:schemaRef ds:uri="http://schemas.microsoft.com/sharepoint/v3/contenttype/forms"/>
  </ds:schemaRefs>
</ds:datastoreItem>
</file>

<file path=customXml/itemProps4.xml><?xml version="1.0" encoding="utf-8"?>
<ds:datastoreItem xmlns:ds="http://schemas.openxmlformats.org/officeDocument/2006/customXml" ds:itemID="{BD154D0D-E015-4E5E-9DC1-613100C8E7E6}">
  <ds:schemaRefs>
    <ds:schemaRef ds:uri="http://schemas.openxmlformats.org/officeDocument/2006/bibliography"/>
  </ds:schemaRefs>
</ds:datastoreItem>
</file>

<file path=customXml/itemProps5.xml><?xml version="1.0" encoding="utf-8"?>
<ds:datastoreItem xmlns:ds="http://schemas.openxmlformats.org/officeDocument/2006/customXml" ds:itemID="{15D34C4A-F4B2-4080-8060-675B73237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c2aa2a-3bd2-4e2d-9874-b99356c97bdc"/>
    <ds:schemaRef ds:uri="9be45aec-f122-432c-a096-83ee12d52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681c59d-868e-4887-80fa-ce36f1f21b0f}" enabled="0" method="" siteId="{e681c59d-868e-4887-80fa-ce36f1f21b0f}"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2127</Words>
  <Characters>11187</Characters>
  <Application>Microsoft Office Word</Application>
  <DocSecurity>0</DocSecurity>
  <Lines>352</Lines>
  <Paragraphs>120</Paragraphs>
  <ScaleCrop>false</ScaleCrop>
  <Company>Health and Safety Executive</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Decommissioning Variation Application</dc:title>
  <dc:subject>Advice to Industry</dc:subject>
  <dc:creator>Cowie Malcolm</dc:creator>
  <cp:lastModifiedBy>Alan Stewart (North Sea Transition Authority)</cp:lastModifiedBy>
  <cp:revision>4</cp:revision>
  <dcterms:created xsi:type="dcterms:W3CDTF">2025-11-19T15:25:00Z</dcterms:created>
  <dcterms:modified xsi:type="dcterms:W3CDTF">2025-11-19T15:25:00Z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0x010100FAE04036B6FEAB4C834B124021612B6A</vt:lpwstr>
  </property>
  <property fmtid="{D5CDD505-2E9C-101B-9397-08002B2CF9AE}" pid="3" name="_dlc_DocIdItemGuid">
    <vt:lpwstr>55c110c8-1057-4236-ba0e-6de481e3a764</vt:lpwstr>
  </property>
  <property fmtid="{D5CDD505-2E9C-101B-9397-08002B2CF9AE}" pid="4" name="Category">
    <vt:lpwstr/>
  </property>
</Properties>
</file>