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B364" w14:textId="7E13CB7F" w:rsidR="004D18BE" w:rsidRDefault="004D18BE" w:rsidP="008C22F2">
      <w:pPr>
        <w:jc w:val="center"/>
      </w:pPr>
      <w:r w:rsidRPr="004D18BE">
        <w:t>TI 2</w:t>
      </w:r>
      <w:r w:rsidR="00775398">
        <w:t>5</w:t>
      </w:r>
      <w:r w:rsidRPr="004D18BE">
        <w:t xml:space="preserve"> – 0</w:t>
      </w:r>
      <w:r w:rsidR="00775398">
        <w:t>1</w:t>
      </w:r>
      <w:r w:rsidRPr="004D18BE">
        <w:t xml:space="preserve"> Technology Example –</w:t>
      </w:r>
      <w:r w:rsidR="00775398">
        <w:t xml:space="preserve"> </w:t>
      </w:r>
      <w:proofErr w:type="spellStart"/>
      <w:r w:rsidR="00775398">
        <w:t>Oilenco</w:t>
      </w:r>
      <w:proofErr w:type="spellEnd"/>
      <w:r w:rsidR="00775398">
        <w:t xml:space="preserve"> </w:t>
      </w:r>
      <w:r w:rsidR="00581477">
        <w:t xml:space="preserve">e-line </w:t>
      </w:r>
      <w:r w:rsidR="00E24C9A">
        <w:t>deployed hold open sleeve for TRSSSV’s</w:t>
      </w:r>
    </w:p>
    <w:p w14:paraId="009B4CC1" w14:textId="545F4ED5" w:rsidR="00B80397" w:rsidRDefault="003709C5" w:rsidP="002E75D7">
      <w:r w:rsidRPr="003709C5">
        <w:rPr>
          <w:noProof/>
        </w:rPr>
        <w:drawing>
          <wp:inline distT="0" distB="0" distL="0" distR="0" wp14:anchorId="67602D6C" wp14:editId="513DBC02">
            <wp:extent cx="5731510" cy="3001010"/>
            <wp:effectExtent l="0" t="0" r="2540" b="8890"/>
            <wp:docPr id="54568940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8940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E5162" w14:textId="225E3A01" w:rsidR="00E24C9A" w:rsidRDefault="00E24C9A" w:rsidP="00E24C9A">
      <w:pPr>
        <w:pStyle w:val="NormalWeb"/>
        <w:spacing w:before="0" w:beforeAutospacing="0" w:after="0" w:afterAutospacing="0"/>
      </w:pPr>
      <w:r>
        <w:rPr>
          <w:rFonts w:ascii="Arial" w:eastAsia="+mn-ea" w:hAnsi="Arial" w:cs="Arial"/>
          <w:color w:val="2F5597"/>
          <w:kern w:val="24"/>
          <w:sz w:val="18"/>
          <w:szCs w:val="18"/>
        </w:rPr>
        <w:t xml:space="preserve">. </w:t>
      </w:r>
    </w:p>
    <w:p w14:paraId="18763292" w14:textId="77777777" w:rsidR="00145A5F" w:rsidRPr="00145A5F" w:rsidRDefault="00145A5F" w:rsidP="00145A5F">
      <w:pPr>
        <w:shd w:val="clear" w:color="auto" w:fill="F4F4F3"/>
        <w:spacing w:after="0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 xml:space="preserve">The </w:t>
      </w:r>
      <w:proofErr w:type="spellStart"/>
      <w:r w:rsidRPr="00145A5F">
        <w:rPr>
          <w:rFonts w:ascii="Arial" w:hAnsi="Arial" w:cs="Arial"/>
        </w:rPr>
        <w:t>Oilenco</w:t>
      </w:r>
      <w:proofErr w:type="spellEnd"/>
      <w:r w:rsidRPr="00145A5F">
        <w:rPr>
          <w:rFonts w:ascii="Arial" w:hAnsi="Arial" w:cs="Arial"/>
        </w:rPr>
        <w:t xml:space="preserve"> </w:t>
      </w:r>
      <w:proofErr w:type="spellStart"/>
      <w:r w:rsidRPr="00145A5F">
        <w:rPr>
          <w:rFonts w:ascii="Arial" w:hAnsi="Arial" w:cs="Arial"/>
        </w:rPr>
        <w:t>UniLOT</w:t>
      </w:r>
      <w:proofErr w:type="spellEnd"/>
      <w:r w:rsidRPr="00145A5F">
        <w:rPr>
          <w:rFonts w:ascii="Arial" w:hAnsi="Arial" w:cs="Arial"/>
        </w:rPr>
        <w:t xml:space="preserve"> (Universal Lockout Tool) provides a means to permanently lock-open a tubing retrievable subsurface safety valve (TRSSSV) so that it remains open with no obstruction from the flapper.</w:t>
      </w:r>
    </w:p>
    <w:p w14:paraId="097EDAB1" w14:textId="77777777" w:rsidR="00145A5F" w:rsidRPr="00145A5F" w:rsidRDefault="00145A5F" w:rsidP="00145A5F">
      <w:pPr>
        <w:shd w:val="clear" w:color="auto" w:fill="F4F4F3"/>
        <w:spacing w:beforeAutospacing="1" w:after="0" w:afterAutospacing="1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HOW IT WORKS</w:t>
      </w:r>
    </w:p>
    <w:p w14:paraId="62986EFF" w14:textId="77777777" w:rsidR="00145A5F" w:rsidRPr="00145A5F" w:rsidRDefault="00145A5F" w:rsidP="00145A5F">
      <w:pPr>
        <w:shd w:val="clear" w:color="auto" w:fill="F4F4F3"/>
        <w:spacing w:before="100" w:beforeAutospacing="1" w:after="100" w:afterAutospacing="1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 xml:space="preserve">The mechanical </w:t>
      </w:r>
      <w:proofErr w:type="spellStart"/>
      <w:r w:rsidRPr="00145A5F">
        <w:rPr>
          <w:rFonts w:ascii="Arial" w:hAnsi="Arial" w:cs="Arial"/>
        </w:rPr>
        <w:t>UniLOT</w:t>
      </w:r>
      <w:proofErr w:type="spellEnd"/>
      <w:r w:rsidRPr="00145A5F">
        <w:rPr>
          <w:rFonts w:ascii="Arial" w:hAnsi="Arial" w:cs="Arial"/>
        </w:rPr>
        <w:t xml:space="preserve"> locks the flow tube in a position that prevents the flapper from closing once the control line pressure is bled off.</w:t>
      </w:r>
    </w:p>
    <w:p w14:paraId="0CE71D68" w14:textId="77777777" w:rsidR="00145A5F" w:rsidRPr="00145A5F" w:rsidRDefault="00145A5F" w:rsidP="00145A5F">
      <w:pPr>
        <w:shd w:val="clear" w:color="auto" w:fill="F4F4F3"/>
        <w:spacing w:before="100" w:beforeAutospacing="1" w:after="100" w:afterAutospacing="1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 xml:space="preserve">By running the </w:t>
      </w:r>
      <w:proofErr w:type="spellStart"/>
      <w:r w:rsidRPr="00145A5F">
        <w:rPr>
          <w:rFonts w:ascii="Arial" w:hAnsi="Arial" w:cs="Arial"/>
        </w:rPr>
        <w:t>Oilenco</w:t>
      </w:r>
      <w:proofErr w:type="spellEnd"/>
      <w:r w:rsidRPr="00145A5F">
        <w:rPr>
          <w:rFonts w:ascii="Arial" w:hAnsi="Arial" w:cs="Arial"/>
        </w:rPr>
        <w:t xml:space="preserve"> </w:t>
      </w:r>
      <w:proofErr w:type="spellStart"/>
      <w:r w:rsidRPr="00145A5F">
        <w:rPr>
          <w:rFonts w:ascii="Arial" w:hAnsi="Arial" w:cs="Arial"/>
        </w:rPr>
        <w:t>UniLOT</w:t>
      </w:r>
      <w:proofErr w:type="spellEnd"/>
      <w:r w:rsidRPr="00145A5F">
        <w:rPr>
          <w:rFonts w:ascii="Arial" w:hAnsi="Arial" w:cs="Arial"/>
        </w:rPr>
        <w:t>, downward jarring is used to deform the walls of the flow tube, which permanently prevents travel back to the original position and keeps the bore of the TRSSSV clear.</w:t>
      </w:r>
    </w:p>
    <w:p w14:paraId="195FE06C" w14:textId="77777777" w:rsidR="00145A5F" w:rsidRPr="00145A5F" w:rsidRDefault="00145A5F" w:rsidP="00145A5F">
      <w:pPr>
        <w:shd w:val="clear" w:color="auto" w:fill="F4F4F3"/>
        <w:spacing w:beforeAutospacing="1" w:after="0" w:afterAutospacing="1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PRODUCT FEATURES</w:t>
      </w:r>
    </w:p>
    <w:p w14:paraId="0E314736" w14:textId="77777777" w:rsidR="00145A5F" w:rsidRPr="00145A5F" w:rsidRDefault="00145A5F" w:rsidP="00145A5F">
      <w:pPr>
        <w:numPr>
          <w:ilvl w:val="0"/>
          <w:numId w:val="3"/>
        </w:numPr>
        <w:shd w:val="clear" w:color="auto" w:fill="F4F4F3"/>
        <w:spacing w:after="0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Does not rely on existing lockout profiles</w:t>
      </w:r>
    </w:p>
    <w:p w14:paraId="13858A08" w14:textId="77777777" w:rsidR="00145A5F" w:rsidRPr="00145A5F" w:rsidRDefault="00145A5F" w:rsidP="00145A5F">
      <w:pPr>
        <w:numPr>
          <w:ilvl w:val="0"/>
          <w:numId w:val="3"/>
        </w:numPr>
        <w:shd w:val="clear" w:color="auto" w:fill="F4F4F3"/>
        <w:spacing w:after="0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Versatile - suits a wide range of safety valve models from different manufacturers</w:t>
      </w:r>
    </w:p>
    <w:p w14:paraId="050D1D37" w14:textId="77777777" w:rsidR="00145A5F" w:rsidRPr="00145A5F" w:rsidRDefault="00145A5F" w:rsidP="00145A5F">
      <w:pPr>
        <w:numPr>
          <w:ilvl w:val="0"/>
          <w:numId w:val="3"/>
        </w:numPr>
        <w:shd w:val="clear" w:color="auto" w:fill="F4F4F3"/>
        <w:spacing w:after="0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Incorporates a flapper check tool providing verification that the flow tube is permanently locked open</w:t>
      </w:r>
    </w:p>
    <w:p w14:paraId="25F55D2F" w14:textId="2488C0FB" w:rsidR="001F1594" w:rsidRDefault="00145A5F" w:rsidP="00145A5F">
      <w:pPr>
        <w:numPr>
          <w:ilvl w:val="0"/>
          <w:numId w:val="3"/>
        </w:numPr>
        <w:shd w:val="clear" w:color="auto" w:fill="F4F4F3"/>
        <w:spacing w:after="0" w:line="240" w:lineRule="auto"/>
        <w:rPr>
          <w:rFonts w:ascii="Arial" w:hAnsi="Arial" w:cs="Arial"/>
        </w:rPr>
      </w:pPr>
      <w:r w:rsidRPr="00145A5F">
        <w:rPr>
          <w:rFonts w:ascii="Arial" w:hAnsi="Arial" w:cs="Arial"/>
        </w:rPr>
        <w:t>Deformation and verification status of the flow tube completed in one run</w:t>
      </w:r>
    </w:p>
    <w:p w14:paraId="04D2E98F" w14:textId="77777777" w:rsidR="008C22F2" w:rsidRPr="00145A5F" w:rsidRDefault="008C22F2" w:rsidP="00145A5F">
      <w:pPr>
        <w:numPr>
          <w:ilvl w:val="0"/>
          <w:numId w:val="3"/>
        </w:numPr>
        <w:shd w:val="clear" w:color="auto" w:fill="F4F4F3"/>
        <w:spacing w:after="0" w:line="240" w:lineRule="auto"/>
        <w:rPr>
          <w:rFonts w:ascii="Arial" w:hAnsi="Arial" w:cs="Arial"/>
        </w:rPr>
      </w:pPr>
    </w:p>
    <w:p w14:paraId="18E69BE7" w14:textId="77777777" w:rsidR="00C50FF3" w:rsidRPr="001C19D4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 xml:space="preserve">This is an example of this technology, </w:t>
      </w:r>
      <w:proofErr w:type="gramStart"/>
      <w:r w:rsidRPr="001C19D4">
        <w:rPr>
          <w:rFonts w:ascii="Arial" w:hAnsi="Arial" w:cs="Arial"/>
        </w:rPr>
        <w:t>Note</w:t>
      </w:r>
      <w:proofErr w:type="gramEnd"/>
      <w:r w:rsidRPr="001C19D4">
        <w:rPr>
          <w:rFonts w:ascii="Arial" w:hAnsi="Arial" w:cs="Arial"/>
        </w:rPr>
        <w:t>: NSTA do not endorse or recommend specific technologies.   </w:t>
      </w:r>
    </w:p>
    <w:p w14:paraId="61F7B034" w14:textId="77777777" w:rsidR="00C50FF3" w:rsidRDefault="00C50FF3" w:rsidP="00C50FF3">
      <w:pPr>
        <w:shd w:val="clear" w:color="auto" w:fill="FFFFFF" w:themeFill="background1"/>
        <w:rPr>
          <w:rFonts w:ascii="Arial" w:hAnsi="Arial" w:cs="Arial"/>
        </w:rPr>
      </w:pPr>
      <w:r w:rsidRPr="001C19D4">
        <w:rPr>
          <w:rFonts w:ascii="Arial" w:hAnsi="Arial" w:cs="Arial"/>
        </w:rPr>
        <w:t>This is an extract from the Vendors website page for this product, the link for the full webpage is below for further information.  </w:t>
      </w:r>
    </w:p>
    <w:p w14:paraId="1C6C17D5" w14:textId="77777777" w:rsidR="002E75D7" w:rsidRPr="001C19D4" w:rsidRDefault="002E75D7" w:rsidP="00C50FF3">
      <w:pPr>
        <w:shd w:val="clear" w:color="auto" w:fill="FFFFFF" w:themeFill="background1"/>
        <w:rPr>
          <w:rFonts w:ascii="Arial" w:hAnsi="Arial" w:cs="Arial"/>
        </w:rPr>
      </w:pPr>
    </w:p>
    <w:p w14:paraId="3F3709E6" w14:textId="162C92DB" w:rsidR="008A6340" w:rsidRDefault="004D18BE">
      <w:r w:rsidRPr="004D18BE">
        <w:rPr>
          <w:rFonts w:ascii="Arial" w:eastAsia="Calibri" w:hAnsi="Arial" w:cs="Arial"/>
          <w:sz w:val="20"/>
          <w:szCs w:val="20"/>
        </w:rPr>
        <w:t xml:space="preserve">Vendors Website link: </w:t>
      </w:r>
      <w:hyperlink r:id="rId9" w:history="1">
        <w:r w:rsidR="008C22F2" w:rsidRPr="008C22F2">
          <w:rPr>
            <w:color w:val="0000FF"/>
            <w:u w:val="single"/>
          </w:rPr>
          <w:t xml:space="preserve">The </w:t>
        </w:r>
        <w:proofErr w:type="spellStart"/>
        <w:r w:rsidR="008C22F2" w:rsidRPr="008C22F2">
          <w:rPr>
            <w:color w:val="0000FF"/>
            <w:u w:val="single"/>
          </w:rPr>
          <w:t>UniLOT</w:t>
        </w:r>
        <w:proofErr w:type="spellEnd"/>
        <w:r w:rsidR="008C22F2" w:rsidRPr="008C22F2">
          <w:rPr>
            <w:color w:val="0000FF"/>
            <w:u w:val="single"/>
          </w:rPr>
          <w:t xml:space="preserve"> - Universal Lockout Tool</w:t>
        </w:r>
      </w:hyperlink>
    </w:p>
    <w:sectPr w:rsidR="008A63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722"/>
    <w:multiLevelType w:val="multilevel"/>
    <w:tmpl w:val="6A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5B080F"/>
    <w:multiLevelType w:val="multilevel"/>
    <w:tmpl w:val="938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7501F3"/>
    <w:multiLevelType w:val="multilevel"/>
    <w:tmpl w:val="0F941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4716771">
    <w:abstractNumId w:val="1"/>
  </w:num>
  <w:num w:numId="2" w16cid:durableId="1134909785">
    <w:abstractNumId w:val="2"/>
  </w:num>
  <w:num w:numId="3" w16cid:durableId="59467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8BE"/>
    <w:rsid w:val="00011408"/>
    <w:rsid w:val="000716F7"/>
    <w:rsid w:val="000B1836"/>
    <w:rsid w:val="00145A5F"/>
    <w:rsid w:val="00174915"/>
    <w:rsid w:val="00181DE1"/>
    <w:rsid w:val="001F1594"/>
    <w:rsid w:val="002475B7"/>
    <w:rsid w:val="002D55F4"/>
    <w:rsid w:val="002E75D7"/>
    <w:rsid w:val="002F24A8"/>
    <w:rsid w:val="003549B2"/>
    <w:rsid w:val="00365F4B"/>
    <w:rsid w:val="003709C5"/>
    <w:rsid w:val="0038038C"/>
    <w:rsid w:val="004B24F9"/>
    <w:rsid w:val="004D18BE"/>
    <w:rsid w:val="00546C56"/>
    <w:rsid w:val="00581477"/>
    <w:rsid w:val="00596309"/>
    <w:rsid w:val="005F20C7"/>
    <w:rsid w:val="005F6E64"/>
    <w:rsid w:val="007370B9"/>
    <w:rsid w:val="00775398"/>
    <w:rsid w:val="007E22B9"/>
    <w:rsid w:val="008A6340"/>
    <w:rsid w:val="008C22F2"/>
    <w:rsid w:val="00992A7A"/>
    <w:rsid w:val="00A32A34"/>
    <w:rsid w:val="00AE6FCF"/>
    <w:rsid w:val="00B80397"/>
    <w:rsid w:val="00C50FF3"/>
    <w:rsid w:val="00D338DA"/>
    <w:rsid w:val="00D431BE"/>
    <w:rsid w:val="00DF743C"/>
    <w:rsid w:val="00E24C9A"/>
    <w:rsid w:val="00E95AD9"/>
    <w:rsid w:val="00E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3738"/>
  <w15:chartTrackingRefBased/>
  <w15:docId w15:val="{0AC503EF-B57C-4B42-92A1-7A7FD530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8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8B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F1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ilenco.com/products/unilot-universal-lockout-too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5FCC6DC4B92F438C4863217DCEEA47" ma:contentTypeVersion="19" ma:contentTypeDescription="Create a new document." ma:contentTypeScope="" ma:versionID="a97ef4430c479622b677bd5a6dbc021a">
  <xsd:schema xmlns:xsd="http://www.w3.org/2001/XMLSchema" xmlns:xs="http://www.w3.org/2001/XMLSchema" xmlns:p="http://schemas.microsoft.com/office/2006/metadata/properties" xmlns:ns2="6d2259b2-5814-406b-97b9-294d7909422d" xmlns:ns3="4a04cb5a-1551-4010-ba0b-ae7d43aef29e" targetNamespace="http://schemas.microsoft.com/office/2006/metadata/properties" ma:root="true" ma:fieldsID="281994f5eceda0e30e8ff2fc42b8fd47" ns2:_="" ns3:_="">
    <xsd:import namespace="6d2259b2-5814-406b-97b9-294d7909422d"/>
    <xsd:import namespace="4a04cb5a-1551-4010-ba0b-ae7d43aef29e"/>
    <xsd:element name="properties">
      <xsd:complexType>
        <xsd:sequence>
          <xsd:element name="documentManagement">
            <xsd:complexType>
              <xsd:all>
                <xsd:element ref="ns2:le2c04be135046e6a4306e66609458a4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Billing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259b2-5814-406b-97b9-294d7909422d" elementFormDefault="qualified">
    <xsd:import namespace="http://schemas.microsoft.com/office/2006/documentManagement/types"/>
    <xsd:import namespace="http://schemas.microsoft.com/office/infopath/2007/PartnerControls"/>
    <xsd:element name="le2c04be135046e6a4306e66609458a4" ma:index="9" nillable="true" ma:taxonomy="true" ma:internalName="le2c04be135046e6a4306e66609458a4" ma:taxonomyFieldName="Category" ma:displayName="Category" ma:default="" ma:fieldId="{5e2c04be-1350-46e6-a430-6e66609458a4}" ma:sspId="3110710f-af1f-4457-9596-69bff0e43749" ma:termSetId="c5651365-b01d-4053-9c2f-831380be07d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110710f-af1f-4457-9596-69bff0e43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4cb5a-1551-4010-ba0b-ae7d43aef29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b4126b9-591c-42d1-8be8-f5ae3dacf296}" ma:internalName="TaxCatchAll" ma:showField="CatchAllData" ma:web="4a04cb5a-1551-4010-ba0b-ae7d43ae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4cb5a-1551-4010-ba0b-ae7d43aef29e" xsi:nil="true"/>
    <le2c04be135046e6a4306e66609458a4 xmlns="6d2259b2-5814-406b-97b9-294d7909422d">
      <Terms xmlns="http://schemas.microsoft.com/office/infopath/2007/PartnerControls"/>
    </le2c04be135046e6a4306e66609458a4>
    <lcf76f155ced4ddcb4097134ff3c332f xmlns="6d2259b2-5814-406b-97b9-294d790942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138785-440F-4975-94FD-0AA28236A6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259b2-5814-406b-97b9-294d7909422d"/>
    <ds:schemaRef ds:uri="4a04cb5a-1551-4010-ba0b-ae7d43aef2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B4E4D9-177A-4B5F-8437-F6223FBF1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E1A31-B9AC-473B-B4D2-ABB65DFC7F37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6d2259b2-5814-406b-97b9-294d7909422d"/>
    <ds:schemaRef ds:uri="http://purl.org/dc/dcmitype/"/>
    <ds:schemaRef ds:uri="4a04cb5a-1551-4010-ba0b-ae7d43aef29e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e681c59d-868e-4887-80fa-ce36f1f21b0f}" enabled="0" method="" siteId="{e681c59d-868e-4887-80fa-ce36f1f21b0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1139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Ransom (North Sea Transition Authority)</dc:creator>
  <cp:keywords/>
  <dc:description/>
  <cp:lastModifiedBy>Alan Stewart (North Sea Transition Authority)</cp:lastModifiedBy>
  <cp:revision>2</cp:revision>
  <dcterms:created xsi:type="dcterms:W3CDTF">2025-11-05T14:59:00Z</dcterms:created>
  <dcterms:modified xsi:type="dcterms:W3CDTF">2025-11-05T14:59:00Z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0x010100DE5FCC6DC4B92F438C4863217DCEEA47</vt:lpwstr>
  </property>
  <property fmtid="{D5CDD505-2E9C-101B-9397-08002B2CF9AE}" pid="3" name="Category">
    <vt:lpwstr/>
  </property>
  <property fmtid="{D5CDD505-2E9C-101B-9397-08002B2CF9AE}" pid="4" name="MediaServiceImageTags">
    <vt:lpwstr/>
  </property>
</Properties>
</file>