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B24B" w14:textId="25C7D0EB" w:rsidR="00BB0B0F" w:rsidRDefault="00D97B3C">
      <w:r>
        <w:t xml:space="preserve">TI 22 – 55. Technology Example – Aptera </w:t>
      </w:r>
      <w:proofErr w:type="spellStart"/>
      <w:r>
        <w:t>CoMic</w:t>
      </w:r>
      <w:proofErr w:type="spellEnd"/>
      <w:r>
        <w:t xml:space="preserve"> Micelle Analysis system</w:t>
      </w:r>
    </w:p>
    <w:p w14:paraId="7DA6912C" w14:textId="7A1C41F6" w:rsidR="00D97B3C" w:rsidRDefault="00D97B3C"/>
    <w:p w14:paraId="291B79AC" w14:textId="783FD9E4" w:rsidR="00D97B3C" w:rsidRDefault="00D97B3C">
      <w:r w:rsidRPr="00D97B3C">
        <w:rPr>
          <w:noProof/>
        </w:rPr>
        <w:drawing>
          <wp:inline distT="0" distB="0" distL="0" distR="0" wp14:anchorId="4064C71F" wp14:editId="6E3FA86F">
            <wp:extent cx="3324225" cy="2928649"/>
            <wp:effectExtent l="0" t="0" r="0" b="5080"/>
            <wp:docPr id="1" name="Picture 1">
              <a:extLst xmlns:a="http://schemas.openxmlformats.org/drawingml/2006/main">
                <a:ext uri="{FF2B5EF4-FFF2-40B4-BE49-F238E27FC236}">
                  <a16:creationId xmlns:a16="http://schemas.microsoft.com/office/drawing/2014/main" id="{9B24EAA7-2843-4DA0-BF8E-D98DC17B6D4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3329245" cy="2933072"/>
                    </a:xfrm>
                    <a:prstGeom prst="rect">
                      <a:avLst/>
                    </a:prstGeom>
                  </pic:spPr>
                </pic:pic>
              </a:graphicData>
            </a:graphic>
          </wp:inline>
        </w:drawing>
      </w:r>
    </w:p>
    <w:p w14:paraId="46F342E9" w14:textId="77777777" w:rsidR="00236F15" w:rsidRDefault="00236F15" w:rsidP="00236F15">
      <w:pPr>
        <w:rPr>
          <w:noProof/>
        </w:rPr>
      </w:pPr>
      <w:r>
        <w:rPr>
          <w:noProof/>
        </w:rPr>
        <w:t>The Three components</w:t>
      </w:r>
    </w:p>
    <w:p w14:paraId="7D5AB856" w14:textId="77777777" w:rsidR="00236F15" w:rsidRDefault="00236F15" w:rsidP="00236F15">
      <w:pPr>
        <w:rPr>
          <w:noProof/>
        </w:rPr>
      </w:pPr>
    </w:p>
    <w:p w14:paraId="1C5EB753" w14:textId="77777777" w:rsidR="00236F15" w:rsidRDefault="00236F15" w:rsidP="00236F15">
      <w:pPr>
        <w:rPr>
          <w:noProof/>
        </w:rPr>
      </w:pPr>
      <w:r>
        <w:rPr>
          <w:noProof/>
        </w:rPr>
        <w:t>Anpera Technologies are proud to introduce our third generations of CoMic™ Analysers micelle analysis software and reagent kits</w:t>
      </w:r>
    </w:p>
    <w:p w14:paraId="78ABBD32" w14:textId="77777777" w:rsidR="00236F15" w:rsidRDefault="00236F15" w:rsidP="00236F15">
      <w:pPr>
        <w:rPr>
          <w:noProof/>
        </w:rPr>
      </w:pPr>
    </w:p>
    <w:p w14:paraId="4496F1F2" w14:textId="6F862365" w:rsidR="00D97B3C" w:rsidRDefault="00236F15" w:rsidP="00236F15">
      <w:r>
        <w:rPr>
          <w:noProof/>
        </w:rPr>
        <w:t>The latest iteration of CoMic™ is driven by our Analyser hardware design to provide the user with a simple to operate and rapid test platform. Powered by and intuitive user interface the, the Analyser not only allows the operator to easily measure water samples in the filed but also provides results within two minutes. Combined with data that is easily integrated into databases, archives and visualisation software, Generation III CoMic™ is a powerful addition to your corrosion management system.</w:t>
      </w:r>
      <w:r w:rsidR="00D97B3C" w:rsidRPr="00D97B3C">
        <w:rPr>
          <w:noProof/>
        </w:rPr>
        <w:drawing>
          <wp:inline distT="0" distB="0" distL="0" distR="0" wp14:anchorId="79EBB876" wp14:editId="7ED180E5">
            <wp:extent cx="5731510" cy="1372235"/>
            <wp:effectExtent l="0" t="0" r="2540" b="0"/>
            <wp:docPr id="2" name="Picture 2" descr="Hardware&#10;&#10;Our Generation III is  robust low-footprint micelle analyser ideal for space limited offshore labs and testing of pipelines from the back of a truck.&#10;&#10;Enclosed in a tough casing the analyser is a self contained unit including a 10-inch LCD display for inputting experimental data and processing experiments to provide sample micelle indices. The cuvette sample port operates through a spring loaded slide mechanism allowing a fast changeover of samples to increase workflow.">
              <a:extLst xmlns:a="http://schemas.openxmlformats.org/drawingml/2006/main">
                <a:ext uri="{FF2B5EF4-FFF2-40B4-BE49-F238E27FC236}">
                  <a16:creationId xmlns:a16="http://schemas.microsoft.com/office/drawing/2014/main" id="{ABEF95E0-E375-49A0-844A-9209E34025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dware&#10;&#10;Our Generation III is  robust low-footprint micelle analyser ideal for space limited offshore labs and testing of pipelines from the back of a truck.&#10;&#10;Enclosed in a tough casing the analyser is a self contained unit including a 10-inch LCD display for inputting experimental data and processing experiments to provide sample micelle indices. The cuvette sample port operates through a spring loaded slide mechanism allowing a fast changeover of samples to increase workflow."/>
                    <pic:cNvPicPr/>
                  </pic:nvPicPr>
                  <pic:blipFill>
                    <a:blip r:embed="rId8"/>
                    <a:stretch>
                      <a:fillRect/>
                    </a:stretch>
                  </pic:blipFill>
                  <pic:spPr>
                    <a:xfrm>
                      <a:off x="0" y="0"/>
                      <a:ext cx="5731510" cy="1372235"/>
                    </a:xfrm>
                    <a:prstGeom prst="rect">
                      <a:avLst/>
                    </a:prstGeom>
                  </pic:spPr>
                </pic:pic>
              </a:graphicData>
            </a:graphic>
          </wp:inline>
        </w:drawing>
      </w:r>
    </w:p>
    <w:p w14:paraId="5DAE9794" w14:textId="70CB7E80" w:rsidR="00D97B3C" w:rsidRDefault="00D97B3C">
      <w:r w:rsidRPr="00D97B3C">
        <w:rPr>
          <w:noProof/>
        </w:rPr>
        <w:lastRenderedPageBreak/>
        <w:drawing>
          <wp:inline distT="0" distB="0" distL="0" distR="0" wp14:anchorId="1EE91B45" wp14:editId="6DA18DD2">
            <wp:extent cx="5695950" cy="1776899"/>
            <wp:effectExtent l="0" t="0" r="0" b="0"/>
            <wp:docPr id="3" name="Picture 3" descr="Hardware&#10;&#10;Our Generation III is  robust low-footprint micelle analyser ideal for space limited offshore labs and testing of pipelines from the back of a truck.&#10;&#10;Enclosed in a tough casing the analyser is a self contained unit including a 10-inch LCD display for inputting experimental data and processing experiments to provide sample micelle indices. The cuvette sample port operates through a spring loaded slide mechanism allowing a fast changeover of samples to increase workflow.&#10;">
              <a:extLst xmlns:a="http://schemas.openxmlformats.org/drawingml/2006/main">
                <a:ext uri="{FF2B5EF4-FFF2-40B4-BE49-F238E27FC236}">
                  <a16:creationId xmlns:a16="http://schemas.microsoft.com/office/drawing/2014/main" id="{FBEFDB37-3E00-4332-AB8F-CAE24C6EBC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ardware&#10;&#10;Our Generation III is  robust low-footprint micelle analyser ideal for space limited offshore labs and testing of pipelines from the back of a truck.&#10;&#10;Enclosed in a tough casing the analyser is a self contained unit including a 10-inch LCD display for inputting experimental data and processing experiments to provide sample micelle indices. The cuvette sample port operates through a spring loaded slide mechanism allowing a fast changeover of samples to increase workflow.&#10;"/>
                    <pic:cNvPicPr/>
                  </pic:nvPicPr>
                  <pic:blipFill>
                    <a:blip r:embed="rId9"/>
                    <a:stretch>
                      <a:fillRect/>
                    </a:stretch>
                  </pic:blipFill>
                  <pic:spPr>
                    <a:xfrm>
                      <a:off x="0" y="0"/>
                      <a:ext cx="5704782" cy="1779654"/>
                    </a:xfrm>
                    <a:prstGeom prst="rect">
                      <a:avLst/>
                    </a:prstGeom>
                  </pic:spPr>
                </pic:pic>
              </a:graphicData>
            </a:graphic>
          </wp:inline>
        </w:drawing>
      </w:r>
    </w:p>
    <w:p w14:paraId="49C0F4A1" w14:textId="7D2461B6" w:rsidR="00D97B3C" w:rsidRDefault="00D97B3C">
      <w:r w:rsidRPr="00D97B3C">
        <w:rPr>
          <w:noProof/>
        </w:rPr>
        <w:drawing>
          <wp:inline distT="0" distB="0" distL="0" distR="0" wp14:anchorId="39F04E02" wp14:editId="67514588">
            <wp:extent cx="5698192" cy="1543050"/>
            <wp:effectExtent l="0" t="0" r="0" b="0"/>
            <wp:docPr id="4" name="Picture 4" descr="Software&#10;&#10;Our simple to use tabbed user interface (UI) is designed to make designing and running and processing experiments a breeze.&#10;&#10;The instrument guides the user through the process of running micelle experiments and seamlessly links to the analysis software. The software is designed using thousands of data sets to ensure that interfaces are recognised and accounted for in the analyses. typically data process in under two minutes meaning that you can have results within fifteen minutes of sample collection.">
              <a:extLst xmlns:a="http://schemas.openxmlformats.org/drawingml/2006/main">
                <a:ext uri="{FF2B5EF4-FFF2-40B4-BE49-F238E27FC236}">
                  <a16:creationId xmlns:a16="http://schemas.microsoft.com/office/drawing/2014/main" id="{C07AFE2A-24E4-4F4E-AC2E-DCE1BC011C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oftware&#10;&#10;Our simple to use tabbed user interface (UI) is designed to make designing and running and processing experiments a breeze.&#10;&#10;The instrument guides the user through the process of running micelle experiments and seamlessly links to the analysis software. The software is designed using thousands of data sets to ensure that interfaces are recognised and accounted for in the analyses. typically data process in under two minutes meaning that you can have results within fifteen minutes of sample collection."/>
                    <pic:cNvPicPr/>
                  </pic:nvPicPr>
                  <pic:blipFill>
                    <a:blip r:embed="rId10"/>
                    <a:stretch>
                      <a:fillRect/>
                    </a:stretch>
                  </pic:blipFill>
                  <pic:spPr>
                    <a:xfrm>
                      <a:off x="0" y="0"/>
                      <a:ext cx="5712308" cy="1546873"/>
                    </a:xfrm>
                    <a:prstGeom prst="rect">
                      <a:avLst/>
                    </a:prstGeom>
                  </pic:spPr>
                </pic:pic>
              </a:graphicData>
            </a:graphic>
          </wp:inline>
        </w:drawing>
      </w:r>
    </w:p>
    <w:p w14:paraId="77C57814" w14:textId="6D9C85EF" w:rsidR="00D97B3C" w:rsidRDefault="00D97B3C"/>
    <w:p w14:paraId="28CB069B" w14:textId="156A1ED2" w:rsidR="00D97B3C" w:rsidRDefault="00A711B1">
      <w:r w:rsidRPr="00A711B1">
        <w:rPr>
          <w:noProof/>
        </w:rPr>
        <w:drawing>
          <wp:inline distT="0" distB="0" distL="0" distR="0" wp14:anchorId="5F991334" wp14:editId="7CEDCA04">
            <wp:extent cx="5911751" cy="1781175"/>
            <wp:effectExtent l="0" t="0" r="0" b="0"/>
            <wp:docPr id="5" name="Picture 5" descr="Reagents&#10;&#10;Our reagents kits have been redesigned and streamlined to increase the speed at which experiments can be carried out.&#10;&#10;Test waters are added to the pre-designed reagents and mixed with our micelle marker chemistry before analysis on the instrument. The Kits contain five experiments each and are contained in recyclable packaging.&#10;&#10;Three experiment types are available: Concentration Series, Field Kit and Spike Kit.">
              <a:extLst xmlns:a="http://schemas.openxmlformats.org/drawingml/2006/main">
                <a:ext uri="{FF2B5EF4-FFF2-40B4-BE49-F238E27FC236}">
                  <a16:creationId xmlns:a16="http://schemas.microsoft.com/office/drawing/2014/main" id="{488C8EDC-76F6-4B00-9FF4-86702BCABB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agents&#10;&#10;Our reagents kits have been redesigned and streamlined to increase the speed at which experiments can be carried out.&#10;&#10;Test waters are added to the pre-designed reagents and mixed with our micelle marker chemistry before analysis on the instrument. The Kits contain five experiments each and are contained in recyclable packaging.&#10;&#10;Three experiment types are available: Concentration Series, Field Kit and Spike Kit."/>
                    <pic:cNvPicPr/>
                  </pic:nvPicPr>
                  <pic:blipFill>
                    <a:blip r:embed="rId11"/>
                    <a:stretch>
                      <a:fillRect/>
                    </a:stretch>
                  </pic:blipFill>
                  <pic:spPr>
                    <a:xfrm>
                      <a:off x="0" y="0"/>
                      <a:ext cx="5919586" cy="1783536"/>
                    </a:xfrm>
                    <a:prstGeom prst="rect">
                      <a:avLst/>
                    </a:prstGeom>
                  </pic:spPr>
                </pic:pic>
              </a:graphicData>
            </a:graphic>
          </wp:inline>
        </w:drawing>
      </w:r>
    </w:p>
    <w:p w14:paraId="232D2865" w14:textId="4FAE569D" w:rsidR="00A711B1" w:rsidRDefault="00A711B1">
      <w:r>
        <w:t>This is an extract from the vendors webpage and is an example of Field analysis kits for further information see the full website using the link below</w:t>
      </w:r>
    </w:p>
    <w:p w14:paraId="66A21EBE" w14:textId="02103A64" w:rsidR="00A711B1" w:rsidRDefault="00A711B1">
      <w:r>
        <w:t xml:space="preserve">Link: </w:t>
      </w:r>
      <w:hyperlink r:id="rId12" w:history="1">
        <w:proofErr w:type="spellStart"/>
        <w:r>
          <w:rPr>
            <w:rStyle w:val="Hyperlink"/>
          </w:rPr>
          <w:t>CoMic</w:t>
        </w:r>
        <w:proofErr w:type="spellEnd"/>
        <w:r>
          <w:rPr>
            <w:rStyle w:val="Hyperlink"/>
          </w:rPr>
          <w:t xml:space="preserve"> Platform | </w:t>
        </w:r>
        <w:proofErr w:type="spellStart"/>
        <w:r>
          <w:rPr>
            <w:rStyle w:val="Hyperlink"/>
          </w:rPr>
          <w:t>Anpera</w:t>
        </w:r>
        <w:proofErr w:type="spellEnd"/>
        <w:r>
          <w:rPr>
            <w:rStyle w:val="Hyperlink"/>
          </w:rPr>
          <w:t xml:space="preserve"> </w:t>
        </w:r>
        <w:proofErr w:type="spellStart"/>
        <w:r>
          <w:rPr>
            <w:rStyle w:val="Hyperlink"/>
          </w:rPr>
          <w:t>Technolgies</w:t>
        </w:r>
        <w:proofErr w:type="spellEnd"/>
      </w:hyperlink>
    </w:p>
    <w:p w14:paraId="439CD1FD" w14:textId="77777777" w:rsidR="00A711B1" w:rsidRDefault="00A711B1"/>
    <w:sectPr w:rsidR="00A71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3C"/>
    <w:rsid w:val="000C1947"/>
    <w:rsid w:val="00192C5C"/>
    <w:rsid w:val="001C6729"/>
    <w:rsid w:val="00236F15"/>
    <w:rsid w:val="004B68CC"/>
    <w:rsid w:val="00546C56"/>
    <w:rsid w:val="00780EC7"/>
    <w:rsid w:val="00A711B1"/>
    <w:rsid w:val="00B73164"/>
    <w:rsid w:val="00BB0B0F"/>
    <w:rsid w:val="00D97B3C"/>
    <w:rsid w:val="00DB20EE"/>
    <w:rsid w:val="00DB5C5B"/>
    <w:rsid w:val="00E9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28F8"/>
  <w15:chartTrackingRefBased/>
  <w15:docId w15:val="{7DF1DE3B-62A0-4B99-9061-049CB01E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1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anpera.io/comic-plat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lcf76f155ced4ddcb4097134ff3c332f xmlns="6d2259b2-5814-406b-97b9-294d79094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9" ma:contentTypeDescription="Create a new document." ma:contentTypeScope="" ma:versionID="a97ef4430c479622b677bd5a6dbc021a">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281994f5eceda0e30e8ff2fc42b8fd47"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Billing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236F8-1CFF-4DF9-8731-3984CFC8E81A}">
  <ds:schemaRefs>
    <ds:schemaRef ds:uri="http://schemas.microsoft.com/office/2006/metadata/properties"/>
    <ds:schemaRef ds:uri="http://schemas.microsoft.com/office/infopath/2007/PartnerControls"/>
    <ds:schemaRef ds:uri="4a04cb5a-1551-4010-ba0b-ae7d43aef29e"/>
    <ds:schemaRef ds:uri="6d2259b2-5814-406b-97b9-294d7909422d"/>
  </ds:schemaRefs>
</ds:datastoreItem>
</file>

<file path=customXml/itemProps2.xml><?xml version="1.0" encoding="utf-8"?>
<ds:datastoreItem xmlns:ds="http://schemas.openxmlformats.org/officeDocument/2006/customXml" ds:itemID="{78E2413A-2CE2-47FA-AEB1-7E001F6D2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4CF4A-F086-40E0-95C6-A3147BDC4A8C}">
  <ds:schemaRefs>
    <ds:schemaRef ds:uri="http://schemas.microsoft.com/sharepoint/v3/contenttype/forms"/>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150</Words>
  <Characters>826</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Links>
    <vt:vector size="6" baseType="variant">
      <vt:variant>
        <vt:i4>786442</vt:i4>
      </vt:variant>
      <vt:variant>
        <vt:i4>0</vt:i4>
      </vt:variant>
      <vt:variant>
        <vt:i4>0</vt:i4>
      </vt:variant>
      <vt:variant>
        <vt:i4>5</vt:i4>
      </vt:variant>
      <vt:variant>
        <vt:lpwstr>https://anpera.io/comic-platform/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3</cp:revision>
  <dcterms:created xsi:type="dcterms:W3CDTF">2025-11-05T09:25:00Z</dcterms:created>
  <dcterms:modified xsi:type="dcterms:W3CDTF">2025-11-05T13:32:00Z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y fmtid="{D5CDD505-2E9C-101B-9397-08002B2CF9AE}" pid="3" name="MediaServiceImageTags">
    <vt:lpwstr/>
  </property>
  <property fmtid="{D5CDD505-2E9C-101B-9397-08002B2CF9AE}" pid="4" name="Category">
    <vt:lpwstr/>
  </property>
</Properties>
</file>