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B4CC1" w14:textId="4A4BF1FB" w:rsidR="00B80397" w:rsidRPr="00925DB6" w:rsidRDefault="004D18BE" w:rsidP="007248C4">
      <w:pPr>
        <w:jc w:val="center"/>
        <w:rPr>
          <w:rFonts w:ascii="Arial" w:hAnsi="Arial" w:cs="Arial"/>
          <w:b/>
          <w:bCs/>
          <w:sz w:val="24"/>
          <w:szCs w:val="24"/>
        </w:rPr>
      </w:pPr>
      <w:r w:rsidRPr="00925DB6">
        <w:rPr>
          <w:rFonts w:ascii="Arial" w:hAnsi="Arial" w:cs="Arial"/>
          <w:b/>
          <w:bCs/>
          <w:sz w:val="24"/>
          <w:szCs w:val="24"/>
        </w:rPr>
        <w:t>TI 2</w:t>
      </w:r>
      <w:r w:rsidR="00775398" w:rsidRPr="00925DB6">
        <w:rPr>
          <w:rFonts w:ascii="Arial" w:hAnsi="Arial" w:cs="Arial"/>
          <w:b/>
          <w:bCs/>
          <w:sz w:val="24"/>
          <w:szCs w:val="24"/>
        </w:rPr>
        <w:t>5</w:t>
      </w:r>
      <w:r w:rsidRPr="00925DB6">
        <w:rPr>
          <w:rFonts w:ascii="Arial" w:hAnsi="Arial" w:cs="Arial"/>
          <w:b/>
          <w:bCs/>
          <w:sz w:val="24"/>
          <w:szCs w:val="24"/>
        </w:rPr>
        <w:t xml:space="preserve"> – 0</w:t>
      </w:r>
      <w:r w:rsidR="003235BE" w:rsidRPr="00925DB6">
        <w:rPr>
          <w:rFonts w:ascii="Arial" w:hAnsi="Arial" w:cs="Arial"/>
          <w:b/>
          <w:bCs/>
          <w:sz w:val="24"/>
          <w:szCs w:val="24"/>
        </w:rPr>
        <w:t>9</w:t>
      </w:r>
      <w:r w:rsidRPr="00925DB6">
        <w:rPr>
          <w:rFonts w:ascii="Arial" w:hAnsi="Arial" w:cs="Arial"/>
          <w:b/>
          <w:bCs/>
          <w:sz w:val="24"/>
          <w:szCs w:val="24"/>
        </w:rPr>
        <w:t xml:space="preserve"> Technology Example </w:t>
      </w:r>
      <w:r w:rsidR="0014074A" w:rsidRPr="00925DB6">
        <w:rPr>
          <w:rFonts w:ascii="Arial" w:hAnsi="Arial" w:cs="Arial"/>
          <w:b/>
          <w:bCs/>
          <w:sz w:val="24"/>
          <w:szCs w:val="24"/>
        </w:rPr>
        <w:t xml:space="preserve">– </w:t>
      </w:r>
      <w:r w:rsidR="003235BE" w:rsidRPr="00925DB6">
        <w:rPr>
          <w:rFonts w:ascii="Arial" w:hAnsi="Arial" w:cs="Arial"/>
          <w:b/>
          <w:bCs/>
          <w:sz w:val="24"/>
          <w:szCs w:val="24"/>
        </w:rPr>
        <w:t xml:space="preserve">NZTC Wells </w:t>
      </w:r>
      <w:proofErr w:type="spellStart"/>
      <w:r w:rsidR="003235BE" w:rsidRPr="00925DB6">
        <w:rPr>
          <w:rFonts w:ascii="Arial" w:hAnsi="Arial" w:cs="Arial"/>
          <w:b/>
          <w:bCs/>
          <w:sz w:val="24"/>
          <w:szCs w:val="24"/>
        </w:rPr>
        <w:t>Colab</w:t>
      </w:r>
      <w:proofErr w:type="spellEnd"/>
    </w:p>
    <w:p w14:paraId="314DE5D2" w14:textId="77777777" w:rsidR="007248C4" w:rsidRDefault="007248C4" w:rsidP="00E24C9A">
      <w:pPr>
        <w:pStyle w:val="NormalWeb"/>
        <w:spacing w:before="0" w:beforeAutospacing="0" w:after="0" w:afterAutospacing="0"/>
      </w:pPr>
    </w:p>
    <w:p w14:paraId="64E99395" w14:textId="77777777" w:rsidR="00790CEA" w:rsidRDefault="00790CEA" w:rsidP="00790CEA">
      <w:pPr>
        <w:pStyle w:val="Default"/>
      </w:pPr>
    </w:p>
    <w:p w14:paraId="01BF8234" w14:textId="050F3083" w:rsidR="007248C4" w:rsidRPr="00740225" w:rsidRDefault="00600A4C" w:rsidP="00790CEA">
      <w:pPr>
        <w:pStyle w:val="NormalWeb"/>
        <w:spacing w:before="0" w:beforeAutospacing="0" w:after="0" w:afterAutospacing="0"/>
        <w:rPr>
          <w:rFonts w:ascii="Arial" w:hAnsi="Arial" w:cs="Arial"/>
          <w:sz w:val="28"/>
          <w:szCs w:val="28"/>
        </w:rPr>
      </w:pPr>
      <w:r w:rsidRPr="00740225">
        <w:rPr>
          <w:rFonts w:ascii="Arial" w:hAnsi="Arial" w:cs="Arial"/>
          <w:sz w:val="28"/>
          <w:szCs w:val="28"/>
        </w:rPr>
        <w:t xml:space="preserve">NZTC </w:t>
      </w:r>
      <w:proofErr w:type="gramStart"/>
      <w:r w:rsidR="00790CEA" w:rsidRPr="00740225">
        <w:rPr>
          <w:rFonts w:ascii="Arial" w:hAnsi="Arial" w:cs="Arial"/>
          <w:sz w:val="28"/>
          <w:szCs w:val="28"/>
        </w:rPr>
        <w:t>Multi-Operator</w:t>
      </w:r>
      <w:proofErr w:type="gramEnd"/>
      <w:r w:rsidR="00790CEA" w:rsidRPr="00740225">
        <w:rPr>
          <w:rFonts w:ascii="Arial" w:hAnsi="Arial" w:cs="Arial"/>
          <w:sz w:val="28"/>
          <w:szCs w:val="28"/>
        </w:rPr>
        <w:t xml:space="preserve"> </w:t>
      </w:r>
      <w:r w:rsidR="00790CEA" w:rsidRPr="00740225">
        <w:rPr>
          <w:rFonts w:ascii="Arial" w:hAnsi="Arial" w:cs="Arial"/>
          <w:b/>
          <w:bCs/>
          <w:sz w:val="28"/>
          <w:szCs w:val="28"/>
        </w:rPr>
        <w:t xml:space="preserve">collaboration </w:t>
      </w:r>
      <w:r w:rsidR="00790CEA" w:rsidRPr="00740225">
        <w:rPr>
          <w:rFonts w:ascii="Arial" w:hAnsi="Arial" w:cs="Arial"/>
          <w:sz w:val="28"/>
          <w:szCs w:val="28"/>
        </w:rPr>
        <w:t xml:space="preserve">accelerating the rate in which technology is developed, tested and piloted for </w:t>
      </w:r>
      <w:r w:rsidR="00790CEA" w:rsidRPr="00740225">
        <w:rPr>
          <w:rFonts w:ascii="Arial" w:hAnsi="Arial" w:cs="Arial"/>
          <w:b/>
          <w:bCs/>
          <w:sz w:val="28"/>
          <w:szCs w:val="28"/>
        </w:rPr>
        <w:t>well decommissioning.</w:t>
      </w:r>
    </w:p>
    <w:p w14:paraId="103A33BE" w14:textId="660CB27B" w:rsidR="004A7A08" w:rsidRDefault="004A7A08" w:rsidP="004A7A08">
      <w:pPr>
        <w:shd w:val="clear" w:color="auto" w:fill="FFFFFF" w:themeFill="background1"/>
        <w:rPr>
          <w:rFonts w:ascii="Arial" w:hAnsi="Arial" w:cs="Arial"/>
        </w:rPr>
      </w:pPr>
    </w:p>
    <w:p w14:paraId="79538CAC" w14:textId="1268A354" w:rsidR="0079631A" w:rsidRPr="00F65C85" w:rsidRDefault="0079631A" w:rsidP="004A7A08">
      <w:pPr>
        <w:shd w:val="clear" w:color="auto" w:fill="FFFFFF" w:themeFill="background1"/>
        <w:rPr>
          <w:rFonts w:ascii="Arial" w:hAnsi="Arial" w:cs="Arial"/>
        </w:rPr>
      </w:pPr>
      <w:r w:rsidRPr="0079631A">
        <w:rPr>
          <w:rFonts w:ascii="Arial" w:hAnsi="Arial" w:cs="Arial"/>
          <w:noProof/>
        </w:rPr>
        <w:drawing>
          <wp:inline distT="0" distB="0" distL="0" distR="0" wp14:anchorId="534E8A0F" wp14:editId="06BD87D6">
            <wp:extent cx="5731510" cy="2632710"/>
            <wp:effectExtent l="0" t="0" r="2540" b="0"/>
            <wp:docPr id="682101655" name="Picture 1" descr="A large metal structure with a cran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01655" name="Picture 1" descr="A large metal structure with a crane in the background&#10;&#10;AI-generated content may be incorrect."/>
                    <pic:cNvPicPr/>
                  </pic:nvPicPr>
                  <pic:blipFill>
                    <a:blip r:embed="rId8"/>
                    <a:stretch>
                      <a:fillRect/>
                    </a:stretch>
                  </pic:blipFill>
                  <pic:spPr>
                    <a:xfrm>
                      <a:off x="0" y="0"/>
                      <a:ext cx="5731510" cy="2632710"/>
                    </a:xfrm>
                    <a:prstGeom prst="rect">
                      <a:avLst/>
                    </a:prstGeom>
                  </pic:spPr>
                </pic:pic>
              </a:graphicData>
            </a:graphic>
          </wp:inline>
        </w:drawing>
      </w:r>
    </w:p>
    <w:p w14:paraId="3DC9E95C" w14:textId="77777777" w:rsidR="00A33E78" w:rsidRPr="00A33E78" w:rsidRDefault="00A33E78" w:rsidP="00A33E78">
      <w:pPr>
        <w:autoSpaceDE w:val="0"/>
        <w:autoSpaceDN w:val="0"/>
        <w:adjustRightInd w:val="0"/>
        <w:spacing w:after="0" w:line="240" w:lineRule="auto"/>
        <w:rPr>
          <w:rFonts w:ascii="Trim SemiBold" w:hAnsi="Trim SemiBold" w:cs="Trim SemiBold"/>
          <w:color w:val="000000"/>
          <w:kern w:val="0"/>
          <w:sz w:val="24"/>
          <w:szCs w:val="24"/>
        </w:rPr>
      </w:pPr>
    </w:p>
    <w:p w14:paraId="2922E140" w14:textId="77777777" w:rsidR="00486400" w:rsidRDefault="00A33E78" w:rsidP="00486400">
      <w:pPr>
        <w:pStyle w:val="Default"/>
        <w:rPr>
          <w:rFonts w:ascii="Arial" w:hAnsi="Arial" w:cs="Arial"/>
          <w:b/>
          <w:bCs/>
          <w:color w:val="auto"/>
        </w:rPr>
      </w:pPr>
      <w:r w:rsidRPr="00A33E78">
        <w:rPr>
          <w:rFonts w:ascii="Arial" w:hAnsi="Arial" w:cs="Arial"/>
          <w:b/>
          <w:bCs/>
          <w:color w:val="auto"/>
        </w:rPr>
        <w:t>Global TQ Framework</w:t>
      </w:r>
      <w:r w:rsidR="00486400">
        <w:rPr>
          <w:rFonts w:ascii="Arial" w:hAnsi="Arial" w:cs="Arial"/>
          <w:b/>
          <w:bCs/>
          <w:color w:val="auto"/>
        </w:rPr>
        <w:t xml:space="preserve"> </w:t>
      </w:r>
    </w:p>
    <w:p w14:paraId="1F50A610" w14:textId="77777777" w:rsidR="00486400" w:rsidRPr="00486400" w:rsidRDefault="00486400" w:rsidP="00486400">
      <w:pPr>
        <w:pStyle w:val="Default"/>
        <w:rPr>
          <w:rFonts w:ascii="Arial" w:hAnsi="Arial" w:cs="Arial"/>
          <w:color w:val="auto"/>
        </w:rPr>
      </w:pPr>
    </w:p>
    <w:p w14:paraId="0A7A48C3" w14:textId="15951958" w:rsidR="003154A1" w:rsidRDefault="00486400" w:rsidP="003154A1">
      <w:pPr>
        <w:pStyle w:val="Default"/>
        <w:rPr>
          <w:rFonts w:ascii="Arial" w:hAnsi="Arial" w:cs="Arial"/>
          <w:color w:val="auto"/>
        </w:rPr>
      </w:pPr>
      <w:r w:rsidRPr="00486400">
        <w:rPr>
          <w:rFonts w:ascii="Arial" w:hAnsi="Arial" w:cs="Arial"/>
          <w:color w:val="auto"/>
        </w:rPr>
        <w:t>To streamline the acceptance and use of alternative materials for use in the permanent plugging and abandonment of oil and gas wells</w:t>
      </w:r>
    </w:p>
    <w:p w14:paraId="78AB9459" w14:textId="77777777" w:rsidR="003154A1" w:rsidRPr="003154A1" w:rsidRDefault="003154A1" w:rsidP="003154A1">
      <w:pPr>
        <w:pStyle w:val="Default"/>
        <w:rPr>
          <w:rFonts w:ascii="Arial" w:hAnsi="Arial" w:cs="Arial"/>
          <w:color w:val="auto"/>
        </w:rPr>
      </w:pPr>
    </w:p>
    <w:p w14:paraId="104612BF" w14:textId="77777777" w:rsidR="003154A1" w:rsidRDefault="003154A1" w:rsidP="003154A1">
      <w:pPr>
        <w:pStyle w:val="Default"/>
        <w:rPr>
          <w:rFonts w:ascii="Arial" w:hAnsi="Arial" w:cs="Arial"/>
          <w:sz w:val="22"/>
          <w:szCs w:val="22"/>
        </w:rPr>
      </w:pPr>
      <w:r w:rsidRPr="003154A1">
        <w:rPr>
          <w:rFonts w:ascii="Arial" w:hAnsi="Arial" w:cs="Arial"/>
          <w:sz w:val="22"/>
          <w:szCs w:val="22"/>
        </w:rPr>
        <w:t>Applies principles and processes from established Technology Qualification Processes such as DNV-RP-A203.</w:t>
      </w:r>
    </w:p>
    <w:p w14:paraId="11314D8C" w14:textId="77777777" w:rsidR="003154A1" w:rsidRPr="003154A1" w:rsidRDefault="003154A1" w:rsidP="003154A1">
      <w:pPr>
        <w:pStyle w:val="Default"/>
        <w:rPr>
          <w:rFonts w:ascii="Arial" w:hAnsi="Arial" w:cs="Arial"/>
          <w:sz w:val="22"/>
          <w:szCs w:val="22"/>
        </w:rPr>
      </w:pPr>
    </w:p>
    <w:p w14:paraId="6B49DBD0" w14:textId="2B78B007" w:rsidR="003154A1" w:rsidRPr="003154A1" w:rsidRDefault="003154A1" w:rsidP="003154A1">
      <w:pPr>
        <w:pStyle w:val="Default"/>
        <w:numPr>
          <w:ilvl w:val="0"/>
          <w:numId w:val="11"/>
        </w:numPr>
        <w:ind w:left="720"/>
        <w:rPr>
          <w:rFonts w:ascii="Arial" w:hAnsi="Arial" w:cs="Arial"/>
          <w:sz w:val="22"/>
          <w:szCs w:val="22"/>
        </w:rPr>
      </w:pPr>
      <w:r w:rsidRPr="003154A1">
        <w:rPr>
          <w:rFonts w:ascii="Arial" w:hAnsi="Arial" w:cs="Arial"/>
          <w:sz w:val="22"/>
          <w:szCs w:val="22"/>
        </w:rPr>
        <w:t>Incorporates requirements from regulations and standards around the globe such as OEUK and Offshore Norge.</w:t>
      </w:r>
    </w:p>
    <w:p w14:paraId="0B829DC5" w14:textId="03BB8F5C" w:rsidR="003154A1" w:rsidRPr="003154A1" w:rsidRDefault="003154A1" w:rsidP="003154A1">
      <w:pPr>
        <w:pStyle w:val="Default"/>
        <w:numPr>
          <w:ilvl w:val="0"/>
          <w:numId w:val="11"/>
        </w:numPr>
        <w:ind w:left="720"/>
        <w:rPr>
          <w:rFonts w:ascii="Arial" w:hAnsi="Arial" w:cs="Arial"/>
          <w:sz w:val="22"/>
          <w:szCs w:val="22"/>
        </w:rPr>
      </w:pPr>
      <w:r w:rsidRPr="003154A1">
        <w:rPr>
          <w:rFonts w:ascii="Arial" w:hAnsi="Arial" w:cs="Arial"/>
          <w:sz w:val="22"/>
          <w:szCs w:val="22"/>
        </w:rPr>
        <w:t>Bespoke to unique application of Alternative Materials for Well P&amp;A.</w:t>
      </w:r>
    </w:p>
    <w:p w14:paraId="33DC26A8" w14:textId="77777777" w:rsidR="003154A1" w:rsidRPr="003154A1" w:rsidRDefault="003154A1" w:rsidP="003154A1">
      <w:pPr>
        <w:pStyle w:val="Default"/>
        <w:ind w:left="-720"/>
      </w:pPr>
    </w:p>
    <w:p w14:paraId="1EEDAD8B" w14:textId="2CEB54ED" w:rsidR="00A33E78" w:rsidRDefault="003154A1" w:rsidP="003154A1">
      <w:pPr>
        <w:pStyle w:val="Default"/>
        <w:rPr>
          <w:rFonts w:ascii="Arial" w:hAnsi="Arial" w:cs="Arial"/>
          <w:sz w:val="22"/>
          <w:szCs w:val="22"/>
        </w:rPr>
      </w:pPr>
      <w:r w:rsidRPr="00AC3EE8">
        <w:rPr>
          <w:rFonts w:ascii="Arial" w:hAnsi="Arial" w:cs="Arial"/>
          <w:sz w:val="22"/>
          <w:szCs w:val="22"/>
        </w:rPr>
        <w:t>Standardised framework across multiple operators and regions, applicable to all material and barrier types which enables early engagement with regulators and similar bodies.</w:t>
      </w:r>
    </w:p>
    <w:p w14:paraId="6400BA24" w14:textId="77777777" w:rsidR="00AC3EE8" w:rsidRPr="00410DAB" w:rsidRDefault="00AC3EE8" w:rsidP="003154A1">
      <w:pPr>
        <w:pStyle w:val="Default"/>
        <w:rPr>
          <w:rFonts w:ascii="Arial" w:hAnsi="Arial" w:cs="Arial"/>
          <w:sz w:val="22"/>
          <w:szCs w:val="22"/>
        </w:rPr>
      </w:pPr>
    </w:p>
    <w:p w14:paraId="4F6C483B" w14:textId="65477726" w:rsidR="00F051B9" w:rsidRPr="00410DAB" w:rsidRDefault="00410DAB" w:rsidP="00410DAB">
      <w:pPr>
        <w:pStyle w:val="Default"/>
        <w:rPr>
          <w:rFonts w:ascii="Arial" w:hAnsi="Arial" w:cs="Arial"/>
          <w:b/>
          <w:bCs/>
        </w:rPr>
      </w:pPr>
      <w:r w:rsidRPr="00410DAB">
        <w:rPr>
          <w:rFonts w:ascii="Arial" w:hAnsi="Arial" w:cs="Arial"/>
          <w:b/>
          <w:bCs/>
        </w:rPr>
        <w:t>1.0 Alternative</w:t>
      </w:r>
      <w:r w:rsidRPr="00410DAB">
        <w:rPr>
          <w:rFonts w:ascii="Arial" w:hAnsi="Arial" w:cs="Arial"/>
        </w:rPr>
        <w:t xml:space="preserve"> </w:t>
      </w:r>
      <w:r w:rsidRPr="00410DAB">
        <w:rPr>
          <w:rFonts w:ascii="Arial" w:hAnsi="Arial" w:cs="Arial"/>
          <w:b/>
          <w:bCs/>
          <w:color w:val="auto"/>
        </w:rPr>
        <w:t>Barrier Materials</w:t>
      </w:r>
    </w:p>
    <w:p w14:paraId="1C748351" w14:textId="77777777" w:rsidR="00410DAB" w:rsidRPr="00F65C85" w:rsidRDefault="00410DAB" w:rsidP="00410DAB">
      <w:pPr>
        <w:pStyle w:val="Default"/>
        <w:rPr>
          <w:color w:val="auto"/>
        </w:rPr>
      </w:pPr>
    </w:p>
    <w:p w14:paraId="15F7956D" w14:textId="3BCBFE40" w:rsidR="00847E81" w:rsidRPr="00847E81" w:rsidRDefault="00F051B9" w:rsidP="00847E81">
      <w:pPr>
        <w:shd w:val="clear" w:color="auto" w:fill="FFFFFF" w:themeFill="background1"/>
        <w:rPr>
          <w:rFonts w:ascii="Arial" w:hAnsi="Arial" w:cs="Arial"/>
        </w:rPr>
      </w:pPr>
      <w:r w:rsidRPr="005739BC">
        <w:rPr>
          <w:rFonts w:ascii="Arial" w:hAnsi="Arial" w:cs="Arial"/>
          <w:sz w:val="24"/>
          <w:szCs w:val="24"/>
        </w:rPr>
        <w:t>Alternative materials used solely or in composite barriers have potential to provide more reliable and resistant isolation compared to cement</w:t>
      </w:r>
      <w:r w:rsidRPr="005739BC">
        <w:rPr>
          <w:rFonts w:ascii="Arial" w:hAnsi="Arial" w:cs="Arial"/>
          <w:color w:val="FFFFFF"/>
          <w:sz w:val="28"/>
          <w:szCs w:val="28"/>
        </w:rPr>
        <w:t>.</w:t>
      </w:r>
    </w:p>
    <w:p w14:paraId="737622ED" w14:textId="77777777" w:rsidR="00B8707E" w:rsidRDefault="00847E81" w:rsidP="00B8707E">
      <w:pPr>
        <w:pStyle w:val="ListParagraph"/>
        <w:numPr>
          <w:ilvl w:val="0"/>
          <w:numId w:val="7"/>
        </w:numPr>
        <w:shd w:val="clear" w:color="auto" w:fill="FFFFFF" w:themeFill="background1"/>
        <w:rPr>
          <w:rFonts w:ascii="Arial" w:hAnsi="Arial" w:cs="Arial"/>
          <w:b/>
          <w:bCs/>
          <w:sz w:val="24"/>
          <w:szCs w:val="24"/>
        </w:rPr>
      </w:pPr>
      <w:r w:rsidRPr="00AD26FD">
        <w:rPr>
          <w:rFonts w:ascii="Arial" w:hAnsi="Arial" w:cs="Arial"/>
          <w:b/>
          <w:bCs/>
          <w:sz w:val="24"/>
          <w:szCs w:val="24"/>
        </w:rPr>
        <w:t>CRIN Alternative Products JIP</w:t>
      </w:r>
    </w:p>
    <w:p w14:paraId="4FB63830" w14:textId="2F01CF30" w:rsidR="001C679A" w:rsidRPr="00D2356D" w:rsidRDefault="00B8707E" w:rsidP="00B8707E">
      <w:pPr>
        <w:pStyle w:val="ListParagraph"/>
        <w:numPr>
          <w:ilvl w:val="1"/>
          <w:numId w:val="6"/>
        </w:numPr>
        <w:shd w:val="clear" w:color="auto" w:fill="FFFFFF" w:themeFill="background1"/>
        <w:rPr>
          <w:rFonts w:ascii="Arial" w:hAnsi="Arial" w:cs="Arial"/>
          <w:b/>
          <w:bCs/>
          <w:sz w:val="24"/>
          <w:szCs w:val="24"/>
        </w:rPr>
      </w:pPr>
      <w:r w:rsidRPr="00B8707E">
        <w:rPr>
          <w:rFonts w:ascii="Arial" w:hAnsi="Arial" w:cs="Arial"/>
          <w:sz w:val="24"/>
          <w:szCs w:val="24"/>
        </w:rPr>
        <w:t>The objectives of the project were to deliver products that had a performance superior to cement, reduce greenhouse gas emissions from leaking wells by decreasing the number of inactive wells and overall reduce financial liabilities whilst creating business opportunities for Alberta and Canadian companies.</w:t>
      </w:r>
    </w:p>
    <w:p w14:paraId="7B95D000" w14:textId="77777777" w:rsidR="00D2356D" w:rsidRPr="00B8707E" w:rsidRDefault="00D2356D" w:rsidP="00D2356D">
      <w:pPr>
        <w:pStyle w:val="ListParagraph"/>
        <w:shd w:val="clear" w:color="auto" w:fill="FFFFFF" w:themeFill="background1"/>
        <w:ind w:left="1440"/>
        <w:rPr>
          <w:rFonts w:ascii="Arial" w:hAnsi="Arial" w:cs="Arial"/>
          <w:b/>
          <w:bCs/>
          <w:sz w:val="24"/>
          <w:szCs w:val="24"/>
        </w:rPr>
      </w:pPr>
    </w:p>
    <w:p w14:paraId="2FD87E72" w14:textId="3CB1F219" w:rsidR="00DF711D" w:rsidRPr="00D2356D" w:rsidRDefault="00AD26FD" w:rsidP="00377F78">
      <w:pPr>
        <w:pStyle w:val="ListParagraph"/>
        <w:numPr>
          <w:ilvl w:val="0"/>
          <w:numId w:val="10"/>
        </w:numPr>
        <w:shd w:val="clear" w:color="auto" w:fill="FFFFFF" w:themeFill="background1"/>
        <w:rPr>
          <w:rFonts w:ascii="Arial" w:hAnsi="Arial" w:cs="Arial"/>
          <w:b/>
          <w:bCs/>
        </w:rPr>
      </w:pPr>
      <w:proofErr w:type="spellStart"/>
      <w:r w:rsidRPr="00AD26FD">
        <w:rPr>
          <w:rFonts w:ascii="Arial" w:hAnsi="Arial" w:cs="Arial"/>
          <w:b/>
          <w:bCs/>
          <w:kern w:val="0"/>
          <w:sz w:val="24"/>
          <w:szCs w:val="24"/>
        </w:rPr>
        <w:t>Wellstrom</w:t>
      </w:r>
      <w:proofErr w:type="spellEnd"/>
      <w:r w:rsidRPr="00AD26FD">
        <w:rPr>
          <w:rFonts w:ascii="Arial" w:hAnsi="Arial" w:cs="Arial"/>
          <w:b/>
          <w:bCs/>
          <w:kern w:val="0"/>
          <w:sz w:val="24"/>
          <w:szCs w:val="24"/>
        </w:rPr>
        <w:t xml:space="preserve"> T1000 Bismuth Plug</w:t>
      </w:r>
      <w:r w:rsidR="00D84346" w:rsidRPr="00AD26FD">
        <w:rPr>
          <w:rFonts w:ascii="Trim SemiBold" w:hAnsi="Trim SemiBold"/>
          <w:b/>
          <w:bCs/>
          <w:kern w:val="0"/>
          <w:sz w:val="64"/>
          <w:szCs w:val="64"/>
        </w:rPr>
        <w:t xml:space="preserve"> </w:t>
      </w:r>
    </w:p>
    <w:p w14:paraId="56CDA00E" w14:textId="35D53100" w:rsidR="00D84346" w:rsidRPr="00D2356D" w:rsidRDefault="00DF711D" w:rsidP="00D2356D">
      <w:pPr>
        <w:pStyle w:val="ListParagraph"/>
        <w:numPr>
          <w:ilvl w:val="1"/>
          <w:numId w:val="6"/>
        </w:numPr>
        <w:shd w:val="clear" w:color="auto" w:fill="FFFFFF" w:themeFill="background1"/>
        <w:rPr>
          <w:rFonts w:ascii="Arial" w:hAnsi="Arial" w:cs="Arial"/>
          <w:sz w:val="24"/>
          <w:szCs w:val="24"/>
        </w:rPr>
      </w:pPr>
      <w:r w:rsidRPr="00D2356D">
        <w:rPr>
          <w:rFonts w:ascii="Arial" w:hAnsi="Arial" w:cs="Arial"/>
          <w:sz w:val="24"/>
          <w:szCs w:val="24"/>
        </w:rPr>
        <w:t>Electrically run bismuth plug than enables abandonments offline and CAN HALVE THE COSTS OF P&amp;A in comparison to section milling and cement</w:t>
      </w:r>
      <w:r w:rsidR="00D2356D" w:rsidRPr="00D2356D">
        <w:rPr>
          <w:rFonts w:ascii="Arial" w:hAnsi="Arial" w:cs="Arial"/>
          <w:sz w:val="24"/>
          <w:szCs w:val="24"/>
        </w:rPr>
        <w:t xml:space="preserve"> </w:t>
      </w:r>
      <w:r w:rsidRPr="00D2356D">
        <w:rPr>
          <w:rFonts w:ascii="Arial" w:hAnsi="Arial" w:cs="Arial"/>
          <w:sz w:val="24"/>
          <w:szCs w:val="24"/>
        </w:rPr>
        <w:t>remediation.</w:t>
      </w:r>
      <w:r w:rsidR="00D84346" w:rsidRPr="00D2356D">
        <w:rPr>
          <w:rFonts w:ascii="Arial" w:hAnsi="Arial" w:cs="Arial"/>
          <w:sz w:val="24"/>
          <w:szCs w:val="24"/>
        </w:rPr>
        <w:t>ug</w:t>
      </w:r>
    </w:p>
    <w:p w14:paraId="0F0D0E14" w14:textId="2602169A" w:rsidR="00356215" w:rsidRPr="00356215" w:rsidRDefault="007F1039" w:rsidP="00356215">
      <w:pPr>
        <w:shd w:val="clear" w:color="auto" w:fill="FFFFFF" w:themeFill="background1"/>
        <w:rPr>
          <w:rFonts w:ascii="Arial" w:hAnsi="Arial" w:cs="Arial"/>
          <w:b/>
          <w:bCs/>
        </w:rPr>
      </w:pPr>
      <w:r w:rsidRPr="007F1039">
        <w:rPr>
          <w:rFonts w:ascii="Arial" w:hAnsi="Arial" w:cs="Arial"/>
          <w:b/>
          <w:bCs/>
        </w:rPr>
        <w:t>2.0 Inspection and Verification</w:t>
      </w:r>
    </w:p>
    <w:p w14:paraId="4540F095" w14:textId="02E1D94E" w:rsidR="007F1039" w:rsidRDefault="00356215" w:rsidP="00356215">
      <w:pPr>
        <w:shd w:val="clear" w:color="auto" w:fill="FFFFFF" w:themeFill="background1"/>
        <w:rPr>
          <w:rFonts w:ascii="Arial" w:hAnsi="Arial" w:cs="Arial"/>
        </w:rPr>
      </w:pPr>
      <w:r w:rsidRPr="00356215">
        <w:rPr>
          <w:rFonts w:ascii="Arial" w:hAnsi="Arial" w:cs="Arial"/>
        </w:rPr>
        <w:t>In recent years there has been a technology race between several vendors in the Through Tubing Cement Logging (TTL) space, with significantly different approaches taken.</w:t>
      </w:r>
    </w:p>
    <w:p w14:paraId="57DD0CEB" w14:textId="5986D5EE" w:rsidR="00356215" w:rsidRDefault="00377F78" w:rsidP="00377F78">
      <w:pPr>
        <w:pStyle w:val="ListParagraph"/>
        <w:numPr>
          <w:ilvl w:val="0"/>
          <w:numId w:val="9"/>
        </w:numPr>
        <w:shd w:val="clear" w:color="auto" w:fill="FFFFFF" w:themeFill="background1"/>
        <w:rPr>
          <w:rFonts w:ascii="Arial" w:hAnsi="Arial" w:cs="Arial"/>
          <w:b/>
          <w:bCs/>
        </w:rPr>
      </w:pPr>
      <w:r>
        <w:rPr>
          <w:rFonts w:ascii="Arial" w:hAnsi="Arial" w:cs="Arial"/>
          <w:b/>
          <w:bCs/>
        </w:rPr>
        <w:t>Thru Tubing Logging</w:t>
      </w:r>
    </w:p>
    <w:p w14:paraId="74A75C04" w14:textId="36455830" w:rsidR="00377F78" w:rsidRPr="004901E9" w:rsidRDefault="004901E9" w:rsidP="00377F78">
      <w:pPr>
        <w:pStyle w:val="ListParagraph"/>
        <w:numPr>
          <w:ilvl w:val="1"/>
          <w:numId w:val="8"/>
        </w:numPr>
        <w:shd w:val="clear" w:color="auto" w:fill="FFFFFF" w:themeFill="background1"/>
        <w:rPr>
          <w:rFonts w:ascii="Arial" w:hAnsi="Arial" w:cs="Arial"/>
        </w:rPr>
      </w:pPr>
      <w:r w:rsidRPr="004901E9">
        <w:rPr>
          <w:rFonts w:ascii="Arial" w:hAnsi="Arial" w:cs="Arial"/>
        </w:rPr>
        <w:t xml:space="preserve">In recent years there has been a technology race between several vendors in the Through Tubing Cement Logging (TTL) space, with significantly different approaches taken. As one would expect, with different Research and Development budgets, different resources allocated, and </w:t>
      </w:r>
      <w:proofErr w:type="gramStart"/>
      <w:r w:rsidRPr="004901E9">
        <w:rPr>
          <w:rFonts w:ascii="Arial" w:hAnsi="Arial" w:cs="Arial"/>
        </w:rPr>
        <w:t>manner in which</w:t>
      </w:r>
      <w:proofErr w:type="gramEnd"/>
      <w:r w:rsidRPr="004901E9">
        <w:rPr>
          <w:rFonts w:ascii="Arial" w:hAnsi="Arial" w:cs="Arial"/>
        </w:rPr>
        <w:t xml:space="preserve"> the vendors have approached both tool design and processing, the race has not been equal!</w:t>
      </w:r>
    </w:p>
    <w:p w14:paraId="3F3941DD" w14:textId="7F03E797" w:rsidR="00600A4C" w:rsidRPr="00600A4C" w:rsidRDefault="005739BC" w:rsidP="00600A4C">
      <w:pPr>
        <w:shd w:val="clear" w:color="auto" w:fill="FFFFFF" w:themeFill="background1"/>
        <w:rPr>
          <w:rFonts w:ascii="Arial" w:hAnsi="Arial" w:cs="Arial"/>
          <w:b/>
          <w:bCs/>
        </w:rPr>
      </w:pPr>
      <w:r w:rsidRPr="00600A4C">
        <w:rPr>
          <w:rFonts w:ascii="Arial" w:hAnsi="Arial" w:cs="Arial"/>
          <w:b/>
          <w:bCs/>
        </w:rPr>
        <w:t xml:space="preserve">3.0 </w:t>
      </w:r>
      <w:r w:rsidR="00600A4C" w:rsidRPr="00600A4C">
        <w:rPr>
          <w:rFonts w:ascii="Arial" w:hAnsi="Arial" w:cs="Arial"/>
          <w:b/>
          <w:bCs/>
        </w:rPr>
        <w:t>Enabling Technologies</w:t>
      </w:r>
    </w:p>
    <w:p w14:paraId="12A08910" w14:textId="77777777" w:rsidR="00600A4C" w:rsidRDefault="00600A4C" w:rsidP="00600A4C">
      <w:pPr>
        <w:shd w:val="clear" w:color="auto" w:fill="FFFFFF" w:themeFill="background1"/>
        <w:rPr>
          <w:rFonts w:ascii="Arial" w:hAnsi="Arial" w:cs="Arial"/>
        </w:rPr>
      </w:pPr>
      <w:r w:rsidRPr="00600A4C">
        <w:rPr>
          <w:rFonts w:ascii="Arial" w:hAnsi="Arial" w:cs="Arial"/>
        </w:rPr>
        <w:t>Enabling technologies provides through tubing services to perform a wide range of task to support barrier placement.</w:t>
      </w:r>
    </w:p>
    <w:p w14:paraId="346BDDC0" w14:textId="2926F075" w:rsidR="001A1A36" w:rsidRDefault="001A1A36" w:rsidP="00600A4C">
      <w:pPr>
        <w:shd w:val="clear" w:color="auto" w:fill="FFFFFF" w:themeFill="background1"/>
        <w:rPr>
          <w:rFonts w:ascii="Arial" w:hAnsi="Arial" w:cs="Arial"/>
        </w:rPr>
      </w:pPr>
      <w:r w:rsidRPr="00600A4C">
        <w:rPr>
          <w:rFonts w:ascii="Arial" w:hAnsi="Arial" w:cs="Arial"/>
        </w:rPr>
        <w:t>From cutters to slotters and everything in-between</w:t>
      </w:r>
    </w:p>
    <w:p w14:paraId="769C3B6B" w14:textId="4E081F44" w:rsidR="00B9452D" w:rsidRPr="001A1A36" w:rsidRDefault="00B9452D" w:rsidP="00B9452D">
      <w:pPr>
        <w:pStyle w:val="ListParagraph"/>
        <w:numPr>
          <w:ilvl w:val="0"/>
          <w:numId w:val="9"/>
        </w:numPr>
        <w:shd w:val="clear" w:color="auto" w:fill="FFFFFF" w:themeFill="background1"/>
        <w:rPr>
          <w:rFonts w:ascii="Arial" w:hAnsi="Arial" w:cs="Arial"/>
          <w:b/>
          <w:bCs/>
        </w:rPr>
      </w:pPr>
      <w:proofErr w:type="spellStart"/>
      <w:r w:rsidRPr="001A1A36">
        <w:rPr>
          <w:rFonts w:ascii="Arial" w:hAnsi="Arial" w:cs="Arial"/>
          <w:b/>
          <w:bCs/>
        </w:rPr>
        <w:t>Axter</w:t>
      </w:r>
      <w:proofErr w:type="spellEnd"/>
      <w:r w:rsidRPr="001A1A36">
        <w:rPr>
          <w:rFonts w:ascii="Arial" w:hAnsi="Arial" w:cs="Arial"/>
          <w:b/>
          <w:bCs/>
        </w:rPr>
        <w:t xml:space="preserve"> Retrieve</w:t>
      </w:r>
    </w:p>
    <w:p w14:paraId="1C5B5B0A" w14:textId="2443EFE0" w:rsidR="005C17FF" w:rsidRPr="00832FB5" w:rsidRDefault="001A1A36" w:rsidP="00832FB5">
      <w:pPr>
        <w:pStyle w:val="ListParagraph"/>
        <w:numPr>
          <w:ilvl w:val="1"/>
          <w:numId w:val="9"/>
        </w:numPr>
        <w:shd w:val="clear" w:color="auto" w:fill="FFFFFF" w:themeFill="background1"/>
        <w:rPr>
          <w:rFonts w:ascii="Arial" w:hAnsi="Arial" w:cs="Arial"/>
        </w:rPr>
      </w:pPr>
      <w:r w:rsidRPr="001A1A36">
        <w:rPr>
          <w:rFonts w:ascii="Arial" w:hAnsi="Arial" w:cs="Arial"/>
        </w:rPr>
        <w:t>The enabler for permanently leaving the tubing string in the wellbore by removing the control line outside the tubing string to permit cementing/plugging the tubing in place.</w:t>
      </w:r>
    </w:p>
    <w:p w14:paraId="15A314F4" w14:textId="77C04255" w:rsidR="001A1A36" w:rsidRPr="005C17FF" w:rsidRDefault="005C17FF" w:rsidP="005C17FF">
      <w:pPr>
        <w:pStyle w:val="ListParagraph"/>
        <w:numPr>
          <w:ilvl w:val="0"/>
          <w:numId w:val="9"/>
        </w:numPr>
        <w:shd w:val="clear" w:color="auto" w:fill="FFFFFF" w:themeFill="background1"/>
        <w:rPr>
          <w:rFonts w:ascii="Arial" w:hAnsi="Arial" w:cs="Arial"/>
          <w:sz w:val="24"/>
          <w:szCs w:val="24"/>
        </w:rPr>
      </w:pPr>
      <w:r w:rsidRPr="005C17FF">
        <w:rPr>
          <w:rFonts w:ascii="Arial" w:hAnsi="Arial" w:cs="Arial"/>
          <w:b/>
          <w:bCs/>
          <w:kern w:val="0"/>
          <w:sz w:val="24"/>
          <w:szCs w:val="24"/>
        </w:rPr>
        <w:t>Exedra Balder Tracer Gas Tool</w:t>
      </w:r>
    </w:p>
    <w:p w14:paraId="0508750F" w14:textId="25252B5C" w:rsidR="005C17FF" w:rsidRDefault="000C6542" w:rsidP="005C17FF">
      <w:pPr>
        <w:pStyle w:val="ListParagraph"/>
        <w:numPr>
          <w:ilvl w:val="1"/>
          <w:numId w:val="9"/>
        </w:numPr>
        <w:shd w:val="clear" w:color="auto" w:fill="FFFFFF" w:themeFill="background1"/>
        <w:rPr>
          <w:rFonts w:ascii="Arial" w:hAnsi="Arial" w:cs="Arial"/>
          <w:sz w:val="24"/>
          <w:szCs w:val="24"/>
        </w:rPr>
      </w:pPr>
      <w:r w:rsidRPr="000C6542">
        <w:rPr>
          <w:rFonts w:ascii="Arial" w:hAnsi="Arial" w:cs="Arial"/>
          <w:sz w:val="24"/>
          <w:szCs w:val="24"/>
        </w:rPr>
        <w:t>Tracer-gas-based verification method for P&amp;A operations jointly funded by NZTC, NORCE and The Norwegian Research Council.</w:t>
      </w:r>
    </w:p>
    <w:p w14:paraId="21303B55" w14:textId="26FA74A5" w:rsidR="00491561" w:rsidRPr="00CC2506" w:rsidRDefault="00491561" w:rsidP="00491561">
      <w:pPr>
        <w:pStyle w:val="ListParagraph"/>
        <w:numPr>
          <w:ilvl w:val="0"/>
          <w:numId w:val="9"/>
        </w:numPr>
        <w:shd w:val="clear" w:color="auto" w:fill="FFFFFF" w:themeFill="background1"/>
        <w:rPr>
          <w:rFonts w:ascii="Arial" w:hAnsi="Arial" w:cs="Arial"/>
          <w:b/>
          <w:bCs/>
          <w:sz w:val="24"/>
          <w:szCs w:val="24"/>
        </w:rPr>
      </w:pPr>
      <w:r w:rsidRPr="00CC2506">
        <w:rPr>
          <w:rFonts w:ascii="Arial" w:hAnsi="Arial" w:cs="Arial"/>
          <w:b/>
          <w:bCs/>
          <w:sz w:val="24"/>
          <w:szCs w:val="24"/>
        </w:rPr>
        <w:t>AAI Hydrate Melter Petrobras Pilot</w:t>
      </w:r>
    </w:p>
    <w:p w14:paraId="0B6EB9CA" w14:textId="1C0F6C39" w:rsidR="007E4886" w:rsidRDefault="00AA699A" w:rsidP="00272D9C">
      <w:pPr>
        <w:pStyle w:val="ListParagraph"/>
        <w:numPr>
          <w:ilvl w:val="1"/>
          <w:numId w:val="9"/>
        </w:numPr>
        <w:shd w:val="clear" w:color="auto" w:fill="FFFFFF" w:themeFill="background1"/>
        <w:rPr>
          <w:rFonts w:ascii="Arial" w:hAnsi="Arial" w:cs="Arial"/>
          <w:sz w:val="24"/>
          <w:szCs w:val="24"/>
        </w:rPr>
      </w:pPr>
      <w:r w:rsidRPr="00AA699A">
        <w:rPr>
          <w:rFonts w:ascii="Arial" w:hAnsi="Arial" w:cs="Arial"/>
          <w:sz w:val="24"/>
          <w:szCs w:val="24"/>
        </w:rPr>
        <w:t>Removing the plugs before setting the plug</w:t>
      </w:r>
      <w:r w:rsidR="00272D9C">
        <w:rPr>
          <w:rFonts w:ascii="Arial" w:hAnsi="Arial" w:cs="Arial"/>
          <w:sz w:val="24"/>
          <w:szCs w:val="24"/>
        </w:rPr>
        <w:t xml:space="preserve">s </w:t>
      </w:r>
      <w:r w:rsidR="007E4886">
        <w:rPr>
          <w:rFonts w:ascii="Arial" w:hAnsi="Arial" w:cs="Arial"/>
          <w:sz w:val="24"/>
          <w:szCs w:val="24"/>
        </w:rPr>
        <w:t>–</w:t>
      </w:r>
    </w:p>
    <w:p w14:paraId="6E8C3598" w14:textId="27D6536A" w:rsidR="00272D9C" w:rsidRPr="00272D9C" w:rsidRDefault="00272D9C" w:rsidP="007E4886">
      <w:pPr>
        <w:pStyle w:val="ListParagraph"/>
        <w:numPr>
          <w:ilvl w:val="2"/>
          <w:numId w:val="9"/>
        </w:numPr>
        <w:shd w:val="clear" w:color="auto" w:fill="FFFFFF" w:themeFill="background1"/>
        <w:rPr>
          <w:rFonts w:ascii="Arial" w:hAnsi="Arial" w:cs="Arial"/>
          <w:sz w:val="24"/>
          <w:szCs w:val="24"/>
        </w:rPr>
      </w:pPr>
      <w:r w:rsidRPr="00272D9C">
        <w:rPr>
          <w:rFonts w:ascii="Arial" w:hAnsi="Arial" w:cs="Arial"/>
          <w:sz w:val="24"/>
          <w:szCs w:val="24"/>
        </w:rPr>
        <w:t>When a hydrate plug is discovered within the Christmas tree or production string</w:t>
      </w:r>
      <w:r w:rsidR="00CC2506">
        <w:rPr>
          <w:rFonts w:ascii="Arial" w:hAnsi="Arial" w:cs="Arial"/>
          <w:sz w:val="24"/>
          <w:szCs w:val="24"/>
        </w:rPr>
        <w:t>.</w:t>
      </w:r>
    </w:p>
    <w:p w14:paraId="13F100EE" w14:textId="78838B68" w:rsidR="00272D9C" w:rsidRPr="00272D9C" w:rsidRDefault="00272D9C" w:rsidP="007E4886">
      <w:pPr>
        <w:pStyle w:val="ListParagraph"/>
        <w:numPr>
          <w:ilvl w:val="2"/>
          <w:numId w:val="9"/>
        </w:numPr>
        <w:shd w:val="clear" w:color="auto" w:fill="FFFFFF" w:themeFill="background1"/>
        <w:rPr>
          <w:rFonts w:ascii="Arial" w:hAnsi="Arial" w:cs="Arial"/>
          <w:sz w:val="24"/>
          <w:szCs w:val="24"/>
        </w:rPr>
      </w:pPr>
      <w:r w:rsidRPr="00272D9C">
        <w:rPr>
          <w:rFonts w:ascii="Arial" w:hAnsi="Arial" w:cs="Arial"/>
          <w:sz w:val="24"/>
          <w:szCs w:val="24"/>
        </w:rPr>
        <w:t>a thermal tool could be employed to melt the hydrate plug after a glycol slug has been positioned above it.</w:t>
      </w:r>
    </w:p>
    <w:p w14:paraId="15A7F67A" w14:textId="69881ECC" w:rsidR="00491561" w:rsidRPr="005C17FF" w:rsidRDefault="00272D9C" w:rsidP="007E4886">
      <w:pPr>
        <w:pStyle w:val="ListParagraph"/>
        <w:numPr>
          <w:ilvl w:val="2"/>
          <w:numId w:val="9"/>
        </w:numPr>
        <w:shd w:val="clear" w:color="auto" w:fill="FFFFFF" w:themeFill="background1"/>
        <w:rPr>
          <w:rFonts w:ascii="Arial" w:hAnsi="Arial" w:cs="Arial"/>
          <w:sz w:val="24"/>
          <w:szCs w:val="24"/>
        </w:rPr>
      </w:pPr>
      <w:r w:rsidRPr="00272D9C">
        <w:rPr>
          <w:rFonts w:ascii="Arial" w:hAnsi="Arial" w:cs="Arial"/>
          <w:sz w:val="24"/>
          <w:szCs w:val="24"/>
        </w:rPr>
        <w:t>The desirable solution comprehends a tool that could be continuously fed by the standard wireline cables.</w:t>
      </w:r>
    </w:p>
    <w:p w14:paraId="441918A5" w14:textId="4FEF65F5" w:rsidR="00356215" w:rsidRDefault="00600A4C" w:rsidP="00600A4C">
      <w:pPr>
        <w:shd w:val="clear" w:color="auto" w:fill="FFFFFF" w:themeFill="background1"/>
        <w:rPr>
          <w:rFonts w:ascii="Arial" w:hAnsi="Arial" w:cs="Arial"/>
        </w:rPr>
      </w:pPr>
      <w:r w:rsidRPr="00600A4C">
        <w:rPr>
          <w:rFonts w:ascii="Arial" w:hAnsi="Arial" w:cs="Arial"/>
        </w:rPr>
        <w:t>.</w:t>
      </w:r>
    </w:p>
    <w:p w14:paraId="299676BC" w14:textId="432CD226" w:rsidR="00600A4C" w:rsidRDefault="00C8654B" w:rsidP="00600A4C">
      <w:pPr>
        <w:shd w:val="clear" w:color="auto" w:fill="FFFFFF" w:themeFill="background1"/>
        <w:rPr>
          <w:rFonts w:ascii="Arial" w:hAnsi="Arial" w:cs="Arial"/>
        </w:rPr>
      </w:pPr>
      <w:r>
        <w:rPr>
          <w:rFonts w:ascii="Arial" w:hAnsi="Arial" w:cs="Arial"/>
        </w:rPr>
        <w:t xml:space="preserve">Link to </w:t>
      </w:r>
      <w:r w:rsidR="006A4E29">
        <w:rPr>
          <w:rFonts w:ascii="Arial" w:hAnsi="Arial" w:cs="Arial"/>
        </w:rPr>
        <w:t xml:space="preserve">NZTC </w:t>
      </w:r>
      <w:r>
        <w:rPr>
          <w:rFonts w:ascii="Arial" w:hAnsi="Arial" w:cs="Arial"/>
        </w:rPr>
        <w:t xml:space="preserve">pdf document </w:t>
      </w:r>
      <w:r w:rsidR="006A4E29">
        <w:rPr>
          <w:rFonts w:ascii="Arial" w:hAnsi="Arial" w:cs="Arial"/>
        </w:rPr>
        <w:t>containing all case studies in full:</w:t>
      </w:r>
    </w:p>
    <w:p w14:paraId="3DC91D4B" w14:textId="77777777" w:rsidR="00C8654B" w:rsidRPr="00C8654B" w:rsidRDefault="00C8654B" w:rsidP="00C8654B">
      <w:pPr>
        <w:spacing w:after="0" w:line="240" w:lineRule="auto"/>
        <w:rPr>
          <w:rFonts w:ascii="Times New Roman" w:eastAsia="Times New Roman" w:hAnsi="Times New Roman" w:cs="Times New Roman"/>
          <w:kern w:val="0"/>
          <w:sz w:val="24"/>
          <w:szCs w:val="24"/>
          <w:lang w:eastAsia="en-GB"/>
          <w14:ligatures w14:val="none"/>
        </w:rPr>
      </w:pPr>
      <w:hyperlink r:id="rId9" w:history="1">
        <w:r w:rsidRPr="00C8654B">
          <w:rPr>
            <w:rFonts w:ascii="Times New Roman" w:eastAsia="Times New Roman" w:hAnsi="Times New Roman" w:cs="Times New Roman"/>
            <w:color w:val="0000FF"/>
            <w:kern w:val="0"/>
            <w:sz w:val="24"/>
            <w:szCs w:val="24"/>
            <w:u w:val="single"/>
            <w:lang w:eastAsia="en-GB"/>
            <w14:ligatures w14:val="none"/>
          </w:rPr>
          <w:t>The Wells Decommissioning Collab Overview.pdf</w:t>
        </w:r>
      </w:hyperlink>
    </w:p>
    <w:p w14:paraId="51133E74" w14:textId="77777777" w:rsidR="00600A4C" w:rsidRPr="00356215" w:rsidRDefault="00600A4C" w:rsidP="00600A4C">
      <w:pPr>
        <w:shd w:val="clear" w:color="auto" w:fill="FFFFFF" w:themeFill="background1"/>
        <w:rPr>
          <w:rFonts w:ascii="Arial" w:hAnsi="Arial" w:cs="Arial"/>
        </w:rPr>
      </w:pPr>
    </w:p>
    <w:p w14:paraId="270D4757" w14:textId="77777777" w:rsidR="001A42B6" w:rsidRDefault="001A42B6"/>
    <w:sectPr w:rsidR="001A42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i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im SemiBol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B70A64"/>
    <w:multiLevelType w:val="multilevel"/>
    <w:tmpl w:val="FFFFFFFF"/>
    <w:lvl w:ilvl="0">
      <w:start w:val="1"/>
      <w:numFmt w:val="ideographDigital"/>
      <w:lvlText w:val=""/>
      <w:lvlJc w:val="left"/>
    </w:lvl>
    <w:lvl w:ilvl="1">
      <w:start w:val="1"/>
      <w:numFmt w:val="ideographDigital"/>
      <w:lvlText w:val=""/>
      <w:lvlJc w:val="left"/>
    </w:lvl>
    <w:lvl w:ilvl="2">
      <w:start w:val="1"/>
      <w:numFmt w:val="decimal"/>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5282C"/>
    <w:multiLevelType w:val="hybridMultilevel"/>
    <w:tmpl w:val="7DFEDD8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F24722"/>
    <w:multiLevelType w:val="multilevel"/>
    <w:tmpl w:val="6A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1794C"/>
    <w:multiLevelType w:val="hybridMultilevel"/>
    <w:tmpl w:val="5560B5A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737374"/>
    <w:multiLevelType w:val="hybridMultilevel"/>
    <w:tmpl w:val="3960713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FDE6CFD"/>
    <w:multiLevelType w:val="hybridMultilevel"/>
    <w:tmpl w:val="4BCE9F6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E67D07"/>
    <w:multiLevelType w:val="hybridMultilevel"/>
    <w:tmpl w:val="C93A6C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72C028A"/>
    <w:multiLevelType w:val="hybridMultilevel"/>
    <w:tmpl w:val="A80209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5B080F"/>
    <w:multiLevelType w:val="multilevel"/>
    <w:tmpl w:val="938E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7501F3"/>
    <w:multiLevelType w:val="multilevel"/>
    <w:tmpl w:val="0F94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BB75E2"/>
    <w:multiLevelType w:val="multilevel"/>
    <w:tmpl w:val="5936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4716771">
    <w:abstractNumId w:val="8"/>
  </w:num>
  <w:num w:numId="2" w16cid:durableId="1134909785">
    <w:abstractNumId w:val="9"/>
  </w:num>
  <w:num w:numId="3" w16cid:durableId="594678605">
    <w:abstractNumId w:val="2"/>
  </w:num>
  <w:num w:numId="4" w16cid:durableId="25369400">
    <w:abstractNumId w:val="10"/>
  </w:num>
  <w:num w:numId="5" w16cid:durableId="1304848283">
    <w:abstractNumId w:val="0"/>
  </w:num>
  <w:num w:numId="6" w16cid:durableId="556205671">
    <w:abstractNumId w:val="5"/>
  </w:num>
  <w:num w:numId="7" w16cid:durableId="347559796">
    <w:abstractNumId w:val="7"/>
  </w:num>
  <w:num w:numId="8" w16cid:durableId="460467406">
    <w:abstractNumId w:val="3"/>
  </w:num>
  <w:num w:numId="9" w16cid:durableId="2100710640">
    <w:abstractNumId w:val="4"/>
  </w:num>
  <w:num w:numId="10" w16cid:durableId="1727560159">
    <w:abstractNumId w:val="1"/>
  </w:num>
  <w:num w:numId="11" w16cid:durableId="2143575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8BE"/>
    <w:rsid w:val="00011408"/>
    <w:rsid w:val="00051437"/>
    <w:rsid w:val="000716F7"/>
    <w:rsid w:val="00071B2F"/>
    <w:rsid w:val="00090091"/>
    <w:rsid w:val="000B1836"/>
    <w:rsid w:val="000B5770"/>
    <w:rsid w:val="000C6542"/>
    <w:rsid w:val="00113009"/>
    <w:rsid w:val="0014074A"/>
    <w:rsid w:val="00145A5F"/>
    <w:rsid w:val="00174915"/>
    <w:rsid w:val="00196DD7"/>
    <w:rsid w:val="001A1A36"/>
    <w:rsid w:val="001A42B6"/>
    <w:rsid w:val="001C679A"/>
    <w:rsid w:val="001F1594"/>
    <w:rsid w:val="002029F6"/>
    <w:rsid w:val="00246784"/>
    <w:rsid w:val="002475B7"/>
    <w:rsid w:val="00272D9C"/>
    <w:rsid w:val="002A6929"/>
    <w:rsid w:val="002C0C9F"/>
    <w:rsid w:val="002C1AB3"/>
    <w:rsid w:val="002D55F4"/>
    <w:rsid w:val="002E340C"/>
    <w:rsid w:val="002E75D7"/>
    <w:rsid w:val="002F24A8"/>
    <w:rsid w:val="002F722F"/>
    <w:rsid w:val="003154A1"/>
    <w:rsid w:val="003235BE"/>
    <w:rsid w:val="00356215"/>
    <w:rsid w:val="00365F4B"/>
    <w:rsid w:val="003709C5"/>
    <w:rsid w:val="00377F78"/>
    <w:rsid w:val="0038038C"/>
    <w:rsid w:val="003A4351"/>
    <w:rsid w:val="00410DAB"/>
    <w:rsid w:val="00431A6C"/>
    <w:rsid w:val="004541E7"/>
    <w:rsid w:val="00486400"/>
    <w:rsid w:val="004901E9"/>
    <w:rsid w:val="00491561"/>
    <w:rsid w:val="004A7A08"/>
    <w:rsid w:val="004B24F9"/>
    <w:rsid w:val="004B4709"/>
    <w:rsid w:val="004C39AA"/>
    <w:rsid w:val="004D18BE"/>
    <w:rsid w:val="00513065"/>
    <w:rsid w:val="005371C0"/>
    <w:rsid w:val="00566050"/>
    <w:rsid w:val="005739BC"/>
    <w:rsid w:val="00581477"/>
    <w:rsid w:val="00596309"/>
    <w:rsid w:val="005A156E"/>
    <w:rsid w:val="005C17FF"/>
    <w:rsid w:val="005F20C7"/>
    <w:rsid w:val="005F6E64"/>
    <w:rsid w:val="00600A4C"/>
    <w:rsid w:val="00636CF4"/>
    <w:rsid w:val="0065591E"/>
    <w:rsid w:val="006A4E29"/>
    <w:rsid w:val="006B1442"/>
    <w:rsid w:val="006C75E2"/>
    <w:rsid w:val="006D2647"/>
    <w:rsid w:val="00705824"/>
    <w:rsid w:val="00706507"/>
    <w:rsid w:val="007248C4"/>
    <w:rsid w:val="007370B9"/>
    <w:rsid w:val="00740225"/>
    <w:rsid w:val="00775398"/>
    <w:rsid w:val="00790CEA"/>
    <w:rsid w:val="0079631A"/>
    <w:rsid w:val="007D61D0"/>
    <w:rsid w:val="007D7836"/>
    <w:rsid w:val="007E22B9"/>
    <w:rsid w:val="007E4886"/>
    <w:rsid w:val="007F1039"/>
    <w:rsid w:val="00832FB5"/>
    <w:rsid w:val="00847E81"/>
    <w:rsid w:val="0086066F"/>
    <w:rsid w:val="008A2BD0"/>
    <w:rsid w:val="008A3D58"/>
    <w:rsid w:val="008A6340"/>
    <w:rsid w:val="008C22F2"/>
    <w:rsid w:val="00913451"/>
    <w:rsid w:val="00925DB6"/>
    <w:rsid w:val="00992A7A"/>
    <w:rsid w:val="009D69AE"/>
    <w:rsid w:val="00A15B99"/>
    <w:rsid w:val="00A32A34"/>
    <w:rsid w:val="00A33E78"/>
    <w:rsid w:val="00A444EC"/>
    <w:rsid w:val="00AA699A"/>
    <w:rsid w:val="00AC3EE8"/>
    <w:rsid w:val="00AD26FD"/>
    <w:rsid w:val="00AE6FCF"/>
    <w:rsid w:val="00B5360A"/>
    <w:rsid w:val="00B80397"/>
    <w:rsid w:val="00B8707E"/>
    <w:rsid w:val="00B9452D"/>
    <w:rsid w:val="00BA5212"/>
    <w:rsid w:val="00BB322E"/>
    <w:rsid w:val="00BD379B"/>
    <w:rsid w:val="00BF466E"/>
    <w:rsid w:val="00C374FF"/>
    <w:rsid w:val="00C50FF3"/>
    <w:rsid w:val="00C708D3"/>
    <w:rsid w:val="00C72327"/>
    <w:rsid w:val="00C8654B"/>
    <w:rsid w:val="00C965BE"/>
    <w:rsid w:val="00CC2506"/>
    <w:rsid w:val="00D2356D"/>
    <w:rsid w:val="00D338DA"/>
    <w:rsid w:val="00D431BE"/>
    <w:rsid w:val="00D84346"/>
    <w:rsid w:val="00D84B49"/>
    <w:rsid w:val="00DD3A10"/>
    <w:rsid w:val="00DF711D"/>
    <w:rsid w:val="00DF743C"/>
    <w:rsid w:val="00E24C9A"/>
    <w:rsid w:val="00E95AD9"/>
    <w:rsid w:val="00EC1211"/>
    <w:rsid w:val="00F051B9"/>
    <w:rsid w:val="00F51C72"/>
    <w:rsid w:val="00F52B7C"/>
    <w:rsid w:val="00F65C85"/>
    <w:rsid w:val="00F67360"/>
    <w:rsid w:val="00FA4CD4"/>
    <w:rsid w:val="00FA6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23738"/>
  <w15:chartTrackingRefBased/>
  <w15:docId w15:val="{0AC503EF-B57C-4B42-92A1-7A7FD5300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8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18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18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1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1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1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1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1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1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8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18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18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1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1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1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1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1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18BE"/>
    <w:rPr>
      <w:rFonts w:eastAsiaTheme="majorEastAsia" w:cstheme="majorBidi"/>
      <w:color w:val="272727" w:themeColor="text1" w:themeTint="D8"/>
    </w:rPr>
  </w:style>
  <w:style w:type="paragraph" w:styleId="Title">
    <w:name w:val="Title"/>
    <w:basedOn w:val="Normal"/>
    <w:next w:val="Normal"/>
    <w:link w:val="TitleChar"/>
    <w:uiPriority w:val="10"/>
    <w:qFormat/>
    <w:rsid w:val="004D1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1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1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1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18BE"/>
    <w:pPr>
      <w:spacing w:before="160"/>
      <w:jc w:val="center"/>
    </w:pPr>
    <w:rPr>
      <w:i/>
      <w:iCs/>
      <w:color w:val="404040" w:themeColor="text1" w:themeTint="BF"/>
    </w:rPr>
  </w:style>
  <w:style w:type="character" w:customStyle="1" w:styleId="QuoteChar">
    <w:name w:val="Quote Char"/>
    <w:basedOn w:val="DefaultParagraphFont"/>
    <w:link w:val="Quote"/>
    <w:uiPriority w:val="29"/>
    <w:rsid w:val="004D18BE"/>
    <w:rPr>
      <w:i/>
      <w:iCs/>
      <w:color w:val="404040" w:themeColor="text1" w:themeTint="BF"/>
    </w:rPr>
  </w:style>
  <w:style w:type="paragraph" w:styleId="ListParagraph">
    <w:name w:val="List Paragraph"/>
    <w:basedOn w:val="Normal"/>
    <w:uiPriority w:val="34"/>
    <w:qFormat/>
    <w:rsid w:val="004D18BE"/>
    <w:pPr>
      <w:ind w:left="720"/>
      <w:contextualSpacing/>
    </w:pPr>
  </w:style>
  <w:style w:type="character" w:styleId="IntenseEmphasis">
    <w:name w:val="Intense Emphasis"/>
    <w:basedOn w:val="DefaultParagraphFont"/>
    <w:uiPriority w:val="21"/>
    <w:qFormat/>
    <w:rsid w:val="004D18BE"/>
    <w:rPr>
      <w:i/>
      <w:iCs/>
      <w:color w:val="0F4761" w:themeColor="accent1" w:themeShade="BF"/>
    </w:rPr>
  </w:style>
  <w:style w:type="paragraph" w:styleId="IntenseQuote">
    <w:name w:val="Intense Quote"/>
    <w:basedOn w:val="Normal"/>
    <w:next w:val="Normal"/>
    <w:link w:val="IntenseQuoteChar"/>
    <w:uiPriority w:val="30"/>
    <w:qFormat/>
    <w:rsid w:val="004D1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18BE"/>
    <w:rPr>
      <w:i/>
      <w:iCs/>
      <w:color w:val="0F4761" w:themeColor="accent1" w:themeShade="BF"/>
    </w:rPr>
  </w:style>
  <w:style w:type="character" w:styleId="IntenseReference">
    <w:name w:val="Intense Reference"/>
    <w:basedOn w:val="DefaultParagraphFont"/>
    <w:uiPriority w:val="32"/>
    <w:qFormat/>
    <w:rsid w:val="004D18BE"/>
    <w:rPr>
      <w:b/>
      <w:bCs/>
      <w:smallCaps/>
      <w:color w:val="0F4761" w:themeColor="accent1" w:themeShade="BF"/>
      <w:spacing w:val="5"/>
    </w:rPr>
  </w:style>
  <w:style w:type="paragraph" w:styleId="NormalWeb">
    <w:name w:val="Normal (Web)"/>
    <w:basedOn w:val="Normal"/>
    <w:uiPriority w:val="99"/>
    <w:unhideWhenUsed/>
    <w:rsid w:val="004D18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1F1594"/>
    <w:rPr>
      <w:color w:val="0000FF"/>
      <w:u w:val="single"/>
    </w:rPr>
  </w:style>
  <w:style w:type="paragraph" w:customStyle="1" w:styleId="Default">
    <w:name w:val="Default"/>
    <w:rsid w:val="00790CEA"/>
    <w:pPr>
      <w:autoSpaceDE w:val="0"/>
      <w:autoSpaceDN w:val="0"/>
      <w:adjustRightInd w:val="0"/>
      <w:spacing w:after="0" w:line="240" w:lineRule="auto"/>
    </w:pPr>
    <w:rPr>
      <w:rFonts w:ascii="Trim" w:hAnsi="Trim" w:cs="Trim"/>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66234">
      <w:bodyDiv w:val="1"/>
      <w:marLeft w:val="0"/>
      <w:marRight w:val="0"/>
      <w:marTop w:val="0"/>
      <w:marBottom w:val="0"/>
      <w:divBdr>
        <w:top w:val="none" w:sz="0" w:space="0" w:color="auto"/>
        <w:left w:val="none" w:sz="0" w:space="0" w:color="auto"/>
        <w:bottom w:val="none" w:sz="0" w:space="0" w:color="auto"/>
        <w:right w:val="none" w:sz="0" w:space="0" w:color="auto"/>
      </w:divBdr>
    </w:div>
    <w:div w:id="205681748">
      <w:bodyDiv w:val="1"/>
      <w:marLeft w:val="0"/>
      <w:marRight w:val="0"/>
      <w:marTop w:val="0"/>
      <w:marBottom w:val="0"/>
      <w:divBdr>
        <w:top w:val="none" w:sz="0" w:space="0" w:color="auto"/>
        <w:left w:val="none" w:sz="0" w:space="0" w:color="auto"/>
        <w:bottom w:val="none" w:sz="0" w:space="0" w:color="auto"/>
        <w:right w:val="none" w:sz="0" w:space="0" w:color="auto"/>
      </w:divBdr>
    </w:div>
    <w:div w:id="283925036">
      <w:bodyDiv w:val="1"/>
      <w:marLeft w:val="0"/>
      <w:marRight w:val="0"/>
      <w:marTop w:val="0"/>
      <w:marBottom w:val="0"/>
      <w:divBdr>
        <w:top w:val="none" w:sz="0" w:space="0" w:color="auto"/>
        <w:left w:val="none" w:sz="0" w:space="0" w:color="auto"/>
        <w:bottom w:val="none" w:sz="0" w:space="0" w:color="auto"/>
        <w:right w:val="none" w:sz="0" w:space="0" w:color="auto"/>
      </w:divBdr>
      <w:divsChild>
        <w:div w:id="1029914642">
          <w:marLeft w:val="0"/>
          <w:marRight w:val="0"/>
          <w:marTop w:val="0"/>
          <w:marBottom w:val="300"/>
          <w:divBdr>
            <w:top w:val="none" w:sz="0" w:space="0" w:color="auto"/>
            <w:left w:val="none" w:sz="0" w:space="0" w:color="auto"/>
            <w:bottom w:val="none" w:sz="0" w:space="0" w:color="auto"/>
            <w:right w:val="none" w:sz="0" w:space="0" w:color="auto"/>
          </w:divBdr>
          <w:divsChild>
            <w:div w:id="402486258">
              <w:marLeft w:val="0"/>
              <w:marRight w:val="0"/>
              <w:marTop w:val="0"/>
              <w:marBottom w:val="0"/>
              <w:divBdr>
                <w:top w:val="none" w:sz="0" w:space="0" w:color="auto"/>
                <w:left w:val="none" w:sz="0" w:space="0" w:color="auto"/>
                <w:bottom w:val="none" w:sz="0" w:space="0" w:color="auto"/>
                <w:right w:val="none" w:sz="0" w:space="0" w:color="auto"/>
              </w:divBdr>
              <w:divsChild>
                <w:div w:id="2086880928">
                  <w:marLeft w:val="0"/>
                  <w:marRight w:val="0"/>
                  <w:marTop w:val="0"/>
                  <w:marBottom w:val="0"/>
                  <w:divBdr>
                    <w:top w:val="none" w:sz="0" w:space="0" w:color="auto"/>
                    <w:left w:val="none" w:sz="0" w:space="0" w:color="auto"/>
                    <w:bottom w:val="none" w:sz="0" w:space="0" w:color="auto"/>
                    <w:right w:val="none" w:sz="0" w:space="0" w:color="auto"/>
                  </w:divBdr>
                  <w:divsChild>
                    <w:div w:id="14014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85675">
          <w:marLeft w:val="0"/>
          <w:marRight w:val="0"/>
          <w:marTop w:val="0"/>
          <w:marBottom w:val="300"/>
          <w:divBdr>
            <w:top w:val="none" w:sz="0" w:space="0" w:color="auto"/>
            <w:left w:val="none" w:sz="0" w:space="0" w:color="auto"/>
            <w:bottom w:val="none" w:sz="0" w:space="0" w:color="auto"/>
            <w:right w:val="none" w:sz="0" w:space="0" w:color="auto"/>
          </w:divBdr>
          <w:divsChild>
            <w:div w:id="1200508205">
              <w:marLeft w:val="0"/>
              <w:marRight w:val="0"/>
              <w:marTop w:val="0"/>
              <w:marBottom w:val="0"/>
              <w:divBdr>
                <w:top w:val="none" w:sz="0" w:space="0" w:color="auto"/>
                <w:left w:val="none" w:sz="0" w:space="0" w:color="auto"/>
                <w:bottom w:val="none" w:sz="0" w:space="0" w:color="auto"/>
                <w:right w:val="none" w:sz="0" w:space="0" w:color="auto"/>
              </w:divBdr>
              <w:divsChild>
                <w:div w:id="21071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3596">
      <w:bodyDiv w:val="1"/>
      <w:marLeft w:val="0"/>
      <w:marRight w:val="0"/>
      <w:marTop w:val="0"/>
      <w:marBottom w:val="0"/>
      <w:divBdr>
        <w:top w:val="none" w:sz="0" w:space="0" w:color="auto"/>
        <w:left w:val="none" w:sz="0" w:space="0" w:color="auto"/>
        <w:bottom w:val="none" w:sz="0" w:space="0" w:color="auto"/>
        <w:right w:val="none" w:sz="0" w:space="0" w:color="auto"/>
      </w:divBdr>
    </w:div>
    <w:div w:id="612244529">
      <w:bodyDiv w:val="1"/>
      <w:marLeft w:val="0"/>
      <w:marRight w:val="0"/>
      <w:marTop w:val="0"/>
      <w:marBottom w:val="0"/>
      <w:divBdr>
        <w:top w:val="none" w:sz="0" w:space="0" w:color="auto"/>
        <w:left w:val="none" w:sz="0" w:space="0" w:color="auto"/>
        <w:bottom w:val="none" w:sz="0" w:space="0" w:color="auto"/>
        <w:right w:val="none" w:sz="0" w:space="0" w:color="auto"/>
      </w:divBdr>
    </w:div>
    <w:div w:id="735010838">
      <w:bodyDiv w:val="1"/>
      <w:marLeft w:val="0"/>
      <w:marRight w:val="0"/>
      <w:marTop w:val="0"/>
      <w:marBottom w:val="0"/>
      <w:divBdr>
        <w:top w:val="none" w:sz="0" w:space="0" w:color="auto"/>
        <w:left w:val="none" w:sz="0" w:space="0" w:color="auto"/>
        <w:bottom w:val="none" w:sz="0" w:space="0" w:color="auto"/>
        <w:right w:val="none" w:sz="0" w:space="0" w:color="auto"/>
      </w:divBdr>
    </w:div>
    <w:div w:id="779255500">
      <w:bodyDiv w:val="1"/>
      <w:marLeft w:val="0"/>
      <w:marRight w:val="0"/>
      <w:marTop w:val="0"/>
      <w:marBottom w:val="0"/>
      <w:divBdr>
        <w:top w:val="none" w:sz="0" w:space="0" w:color="auto"/>
        <w:left w:val="none" w:sz="0" w:space="0" w:color="auto"/>
        <w:bottom w:val="none" w:sz="0" w:space="0" w:color="auto"/>
        <w:right w:val="none" w:sz="0" w:space="0" w:color="auto"/>
      </w:divBdr>
    </w:div>
    <w:div w:id="941038731">
      <w:bodyDiv w:val="1"/>
      <w:marLeft w:val="0"/>
      <w:marRight w:val="0"/>
      <w:marTop w:val="0"/>
      <w:marBottom w:val="0"/>
      <w:divBdr>
        <w:top w:val="none" w:sz="0" w:space="0" w:color="auto"/>
        <w:left w:val="none" w:sz="0" w:space="0" w:color="auto"/>
        <w:bottom w:val="none" w:sz="0" w:space="0" w:color="auto"/>
        <w:right w:val="none" w:sz="0" w:space="0" w:color="auto"/>
      </w:divBdr>
    </w:div>
    <w:div w:id="1505393974">
      <w:bodyDiv w:val="1"/>
      <w:marLeft w:val="0"/>
      <w:marRight w:val="0"/>
      <w:marTop w:val="0"/>
      <w:marBottom w:val="0"/>
      <w:divBdr>
        <w:top w:val="none" w:sz="0" w:space="0" w:color="auto"/>
        <w:left w:val="none" w:sz="0" w:space="0" w:color="auto"/>
        <w:bottom w:val="none" w:sz="0" w:space="0" w:color="auto"/>
        <w:right w:val="none" w:sz="0" w:space="0" w:color="auto"/>
      </w:divBdr>
    </w:div>
    <w:div w:id="1580796756">
      <w:bodyDiv w:val="1"/>
      <w:marLeft w:val="0"/>
      <w:marRight w:val="0"/>
      <w:marTop w:val="0"/>
      <w:marBottom w:val="0"/>
      <w:divBdr>
        <w:top w:val="none" w:sz="0" w:space="0" w:color="auto"/>
        <w:left w:val="none" w:sz="0" w:space="0" w:color="auto"/>
        <w:bottom w:val="none" w:sz="0" w:space="0" w:color="auto"/>
        <w:right w:val="none" w:sz="0" w:space="0" w:color="auto"/>
      </w:divBdr>
      <w:divsChild>
        <w:div w:id="1643658054">
          <w:marLeft w:val="0"/>
          <w:marRight w:val="0"/>
          <w:marTop w:val="0"/>
          <w:marBottom w:val="0"/>
          <w:divBdr>
            <w:top w:val="none" w:sz="0" w:space="0" w:color="auto"/>
            <w:left w:val="none" w:sz="0" w:space="0" w:color="auto"/>
            <w:bottom w:val="none" w:sz="0" w:space="0" w:color="auto"/>
            <w:right w:val="none" w:sz="0" w:space="0" w:color="auto"/>
          </w:divBdr>
        </w:div>
        <w:div w:id="174147962">
          <w:marLeft w:val="0"/>
          <w:marRight w:val="0"/>
          <w:marTop w:val="0"/>
          <w:marBottom w:val="0"/>
          <w:divBdr>
            <w:top w:val="none" w:sz="0" w:space="0" w:color="auto"/>
            <w:left w:val="none" w:sz="0" w:space="0" w:color="auto"/>
            <w:bottom w:val="none" w:sz="0" w:space="0" w:color="auto"/>
            <w:right w:val="none" w:sz="0" w:space="0" w:color="auto"/>
          </w:divBdr>
          <w:divsChild>
            <w:div w:id="2102292251">
              <w:marLeft w:val="0"/>
              <w:marRight w:val="0"/>
              <w:marTop w:val="0"/>
              <w:marBottom w:val="0"/>
              <w:divBdr>
                <w:top w:val="none" w:sz="0" w:space="0" w:color="auto"/>
                <w:left w:val="none" w:sz="0" w:space="0" w:color="auto"/>
                <w:bottom w:val="none" w:sz="0" w:space="0" w:color="auto"/>
                <w:right w:val="none" w:sz="0" w:space="0" w:color="auto"/>
              </w:divBdr>
              <w:divsChild>
                <w:div w:id="19466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5039">
      <w:bodyDiv w:val="1"/>
      <w:marLeft w:val="0"/>
      <w:marRight w:val="0"/>
      <w:marTop w:val="0"/>
      <w:marBottom w:val="0"/>
      <w:divBdr>
        <w:top w:val="none" w:sz="0" w:space="0" w:color="auto"/>
        <w:left w:val="none" w:sz="0" w:space="0" w:color="auto"/>
        <w:bottom w:val="none" w:sz="0" w:space="0" w:color="auto"/>
        <w:right w:val="none" w:sz="0" w:space="0" w:color="auto"/>
      </w:divBdr>
    </w:div>
    <w:div w:id="1792744387">
      <w:bodyDiv w:val="1"/>
      <w:marLeft w:val="0"/>
      <w:marRight w:val="0"/>
      <w:marTop w:val="0"/>
      <w:marBottom w:val="0"/>
      <w:divBdr>
        <w:top w:val="none" w:sz="0" w:space="0" w:color="auto"/>
        <w:left w:val="none" w:sz="0" w:space="0" w:color="auto"/>
        <w:bottom w:val="none" w:sz="0" w:space="0" w:color="auto"/>
        <w:right w:val="none" w:sz="0" w:space="0" w:color="auto"/>
      </w:divBdr>
    </w:div>
    <w:div w:id="180715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gauthority.sharepoint.com/:b:/s/Technology/Ef9FRIif_I1IuuFu-7wHqqsB3IQvXQMKEFVD0CGCD-CZ4w?e=Dmbs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5FCC6DC4B92F438C4863217DCEEA47" ma:contentTypeVersion="19" ma:contentTypeDescription="Create a new document." ma:contentTypeScope="" ma:versionID="a97ef4430c479622b677bd5a6dbc021a">
  <xsd:schema xmlns:xsd="http://www.w3.org/2001/XMLSchema" xmlns:xs="http://www.w3.org/2001/XMLSchema" xmlns:p="http://schemas.microsoft.com/office/2006/metadata/properties" xmlns:ns2="6d2259b2-5814-406b-97b9-294d7909422d" xmlns:ns3="4a04cb5a-1551-4010-ba0b-ae7d43aef29e" targetNamespace="http://schemas.microsoft.com/office/2006/metadata/properties" ma:root="true" ma:fieldsID="281994f5eceda0e30e8ff2fc42b8fd47" ns2:_="" ns3:_="">
    <xsd:import namespace="6d2259b2-5814-406b-97b9-294d7909422d"/>
    <xsd:import namespace="4a04cb5a-1551-4010-ba0b-ae7d43aef29e"/>
    <xsd:element name="properties">
      <xsd:complexType>
        <xsd:sequence>
          <xsd:element name="documentManagement">
            <xsd:complexType>
              <xsd:all>
                <xsd:element ref="ns2:le2c04be135046e6a4306e66609458a4" minOccurs="0"/>
                <xsd:element ref="ns3:TaxCatchAll"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Billing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259b2-5814-406b-97b9-294d7909422d" elementFormDefault="qualified">
    <xsd:import namespace="http://schemas.microsoft.com/office/2006/documentManagement/types"/>
    <xsd:import namespace="http://schemas.microsoft.com/office/infopath/2007/PartnerControls"/>
    <xsd:element name="le2c04be135046e6a4306e66609458a4" ma:index="9" nillable="true" ma:taxonomy="true" ma:internalName="le2c04be135046e6a4306e66609458a4" ma:taxonomyFieldName="Category" ma:displayName="Category" ma:default="" ma:fieldId="{5e2c04be-1350-46e6-a430-6e66609458a4}" ma:sspId="3110710f-af1f-4457-9596-69bff0e43749" ma:termSetId="c5651365-b01d-4053-9c2f-831380be07da"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04cb5a-1551-4010-ba0b-ae7d43aef29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b4126b9-591c-42d1-8be8-f5ae3dacf296}" ma:internalName="TaxCatchAll" ma:showField="CatchAllData" ma:web="4a04cb5a-1551-4010-ba0b-ae7d43aef29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a04cb5a-1551-4010-ba0b-ae7d43aef29e" xsi:nil="true"/>
    <le2c04be135046e6a4306e66609458a4 xmlns="6d2259b2-5814-406b-97b9-294d7909422d">
      <Terms xmlns="http://schemas.microsoft.com/office/infopath/2007/PartnerControls"/>
    </le2c04be135046e6a4306e66609458a4>
    <lcf76f155ced4ddcb4097134ff3c332f xmlns="6d2259b2-5814-406b-97b9-294d790942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3CCE48-CF85-46E3-BF74-1DB8E3135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259b2-5814-406b-97b9-294d7909422d"/>
    <ds:schemaRef ds:uri="4a04cb5a-1551-4010-ba0b-ae7d43aef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4E4D9-177A-4B5F-8437-F6223FBF1523}">
  <ds:schemaRefs>
    <ds:schemaRef ds:uri="http://schemas.microsoft.com/sharepoint/v3/contenttype/forms"/>
  </ds:schemaRefs>
</ds:datastoreItem>
</file>

<file path=customXml/itemProps3.xml><?xml version="1.0" encoding="utf-8"?>
<ds:datastoreItem xmlns:ds="http://schemas.openxmlformats.org/officeDocument/2006/customXml" ds:itemID="{D24E1A31-B9AC-473B-B4D2-ABB65DFC7F37}">
  <ds:schemaRefs>
    <ds:schemaRef ds:uri="6d2259b2-5814-406b-97b9-294d7909422d"/>
    <ds:schemaRef ds:uri="http://purl.org/dc/terms/"/>
    <ds:schemaRef ds:uri="4a04cb5a-1551-4010-ba0b-ae7d43aef29e"/>
    <ds:schemaRef ds:uri="http://purl.org/dc/dcmitype/"/>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elements/1.1/"/>
  </ds:schemaRefs>
</ds:datastoreItem>
</file>

<file path=docMetadata/LabelInfo.xml><?xml version="1.0" encoding="utf-8"?>
<clbl:labelList xmlns:clbl="http://schemas.microsoft.com/office/2020/mipLabelMetadata">
  <clbl:label id="{e681c59d-868e-4887-80fa-ce36f1f21b0f}" enabled="0" method="" siteId="{e681c59d-868e-4887-80fa-ce36f1f21b0f}"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2779</Characters>
  <Application>Microsoft Office Word</Application>
  <DocSecurity>0</DocSecurity>
  <Lines>75</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Ransom (North Sea Transition Authority)</dc:creator>
  <cp:keywords/>
  <dc:description/>
  <cp:lastModifiedBy>Alan Stewart (North Sea Transition Authority)</cp:lastModifiedBy>
  <cp:revision>2</cp:revision>
  <dcterms:created xsi:type="dcterms:W3CDTF">2025-11-05T11:03:00Z</dcterms:created>
  <dcterms:modified xsi:type="dcterms:W3CDTF">2025-11-05T11:03:00Z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0x010100DE5FCC6DC4B92F438C4863217DCEEA47</vt:lpwstr>
  </property>
  <property fmtid="{D5CDD505-2E9C-101B-9397-08002B2CF9AE}" pid="3" name="Category">
    <vt:lpwstr/>
  </property>
  <property fmtid="{D5CDD505-2E9C-101B-9397-08002B2CF9AE}" pid="4" name="MediaServiceImageTags">
    <vt:lpwstr/>
  </property>
</Properties>
</file>