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24A5" w14:textId="77777777" w:rsidR="00EC5B39" w:rsidRDefault="00EC5B39" w:rsidP="003D4027">
      <w:pPr>
        <w:jc w:val="center"/>
        <w:rPr>
          <w:b/>
          <w:bCs/>
          <w:sz w:val="28"/>
          <w:szCs w:val="28"/>
        </w:rPr>
      </w:pPr>
    </w:p>
    <w:p w14:paraId="659B7058" w14:textId="77777777" w:rsidR="00EC5B39" w:rsidRDefault="00EC5B39" w:rsidP="003D4027">
      <w:pPr>
        <w:jc w:val="center"/>
        <w:rPr>
          <w:b/>
          <w:bCs/>
          <w:sz w:val="28"/>
          <w:szCs w:val="28"/>
        </w:rPr>
      </w:pPr>
    </w:p>
    <w:p w14:paraId="1D2E4D66" w14:textId="636A4BAB" w:rsidR="00EC5B39" w:rsidRDefault="00EC5B39" w:rsidP="00EC5B3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19B0E1E" wp14:editId="5DA507C5">
            <wp:extent cx="1485900" cy="1490411"/>
            <wp:effectExtent l="0" t="0" r="0" b="0"/>
            <wp:docPr id="1" name="Picture 1" descr="NS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STA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085" cy="149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5C23F" w14:textId="77777777" w:rsidR="00EC5B39" w:rsidRDefault="00EC5B39" w:rsidP="00EC5B39">
      <w:pPr>
        <w:rPr>
          <w:b/>
          <w:bCs/>
          <w:sz w:val="28"/>
          <w:szCs w:val="28"/>
        </w:rPr>
      </w:pPr>
    </w:p>
    <w:p w14:paraId="3769E64B" w14:textId="1A8937CC" w:rsidR="006653CA" w:rsidRDefault="00354AF2" w:rsidP="00EC5B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NSTD</w:t>
      </w:r>
      <w:r w:rsidR="00E80D33">
        <w:rPr>
          <w:b/>
          <w:bCs/>
          <w:sz w:val="28"/>
          <w:szCs w:val="28"/>
        </w:rPr>
        <w:t xml:space="preserve"> </w:t>
      </w:r>
      <w:r w:rsidR="003D4027" w:rsidRPr="003D4027">
        <w:rPr>
          <w:b/>
          <w:bCs/>
          <w:sz w:val="28"/>
          <w:szCs w:val="28"/>
        </w:rPr>
        <w:t>Methodology for measuring the UK content of UK Energy Transition and Decommissioning projects</w:t>
      </w:r>
    </w:p>
    <w:p w14:paraId="779626C8" w14:textId="61A6F098" w:rsidR="003D4027" w:rsidRPr="007D0464" w:rsidRDefault="00462ECB" w:rsidP="00134CA2">
      <w:pPr>
        <w:rPr>
          <w:rFonts w:ascii="Calibri" w:eastAsia="Calibri" w:hAnsi="Calibri" w:cs="Calibri"/>
          <w:sz w:val="24"/>
          <w:szCs w:val="24"/>
        </w:rPr>
      </w:pPr>
      <w:r w:rsidRPr="007D0464">
        <w:rPr>
          <w:sz w:val="24"/>
          <w:szCs w:val="24"/>
        </w:rPr>
        <w:t xml:space="preserve">The following </w:t>
      </w:r>
      <w:r w:rsidR="00134CA2" w:rsidRPr="007D0464">
        <w:rPr>
          <w:sz w:val="24"/>
          <w:szCs w:val="24"/>
        </w:rPr>
        <w:t xml:space="preserve">principles </w:t>
      </w:r>
      <w:r w:rsidR="002E6464" w:rsidRPr="007D0464">
        <w:rPr>
          <w:sz w:val="24"/>
          <w:szCs w:val="24"/>
        </w:rPr>
        <w:t xml:space="preserve">have </w:t>
      </w:r>
      <w:r w:rsidR="00134CA2" w:rsidRPr="007D0464">
        <w:rPr>
          <w:sz w:val="24"/>
          <w:szCs w:val="24"/>
        </w:rPr>
        <w:t>been developed with input from Industry and are aimed at setting out</w:t>
      </w:r>
      <w:r w:rsidR="002E6464" w:rsidRPr="007D0464">
        <w:rPr>
          <w:sz w:val="24"/>
          <w:szCs w:val="24"/>
        </w:rPr>
        <w:t>,</w:t>
      </w:r>
      <w:r w:rsidR="00134CA2" w:rsidRPr="007D0464">
        <w:rPr>
          <w:sz w:val="24"/>
          <w:szCs w:val="24"/>
        </w:rPr>
        <w:t xml:space="preserve"> at a general level</w:t>
      </w:r>
      <w:r w:rsidR="002E6464" w:rsidRPr="007D0464">
        <w:rPr>
          <w:sz w:val="24"/>
          <w:szCs w:val="24"/>
        </w:rPr>
        <w:t>,</w:t>
      </w:r>
      <w:r w:rsidR="00134CA2" w:rsidRPr="007D0464">
        <w:rPr>
          <w:sz w:val="24"/>
          <w:szCs w:val="24"/>
        </w:rPr>
        <w:t xml:space="preserve"> </w:t>
      </w:r>
      <w:r w:rsidR="00C6304C" w:rsidRPr="007D0464">
        <w:rPr>
          <w:sz w:val="24"/>
          <w:szCs w:val="24"/>
        </w:rPr>
        <w:t xml:space="preserve">the </w:t>
      </w:r>
      <w:proofErr w:type="gramStart"/>
      <w:r w:rsidR="00C6304C" w:rsidRPr="007D0464">
        <w:rPr>
          <w:rFonts w:ascii="Calibri" w:eastAsia="Calibri" w:hAnsi="Calibri" w:cs="Calibri"/>
          <w:sz w:val="24"/>
          <w:szCs w:val="24"/>
        </w:rPr>
        <w:t>processes</w:t>
      </w:r>
      <w:proofErr w:type="gramEnd"/>
      <w:r w:rsidR="00C6304C" w:rsidRPr="007D0464">
        <w:rPr>
          <w:rFonts w:ascii="Calibri" w:eastAsia="Calibri" w:hAnsi="Calibri" w:cs="Calibri"/>
          <w:sz w:val="24"/>
          <w:szCs w:val="24"/>
        </w:rPr>
        <w:t xml:space="preserve"> and tools the NSTA </w:t>
      </w:r>
      <w:r w:rsidR="002E6464">
        <w:rPr>
          <w:rFonts w:ascii="Calibri" w:eastAsia="Calibri" w:hAnsi="Calibri" w:cs="Calibri"/>
          <w:sz w:val="24"/>
          <w:szCs w:val="24"/>
        </w:rPr>
        <w:t>may</w:t>
      </w:r>
      <w:r w:rsidR="002E6464" w:rsidRPr="007D0464">
        <w:rPr>
          <w:rFonts w:ascii="Calibri" w:eastAsia="Calibri" w:hAnsi="Calibri" w:cs="Calibri"/>
          <w:sz w:val="24"/>
          <w:szCs w:val="24"/>
        </w:rPr>
        <w:t xml:space="preserve"> </w:t>
      </w:r>
      <w:r w:rsidR="003D13FC" w:rsidRPr="007D0464">
        <w:rPr>
          <w:rFonts w:ascii="Calibri" w:eastAsia="Calibri" w:hAnsi="Calibri" w:cs="Calibri"/>
          <w:sz w:val="24"/>
          <w:szCs w:val="24"/>
        </w:rPr>
        <w:t xml:space="preserve">utilise </w:t>
      </w:r>
      <w:r w:rsidR="00C6304C" w:rsidRPr="007D0464">
        <w:rPr>
          <w:rFonts w:ascii="Calibri" w:eastAsia="Calibri" w:hAnsi="Calibri" w:cs="Calibri"/>
          <w:sz w:val="24"/>
          <w:szCs w:val="24"/>
        </w:rPr>
        <w:t>in support of the NSTD</w:t>
      </w:r>
      <w:r w:rsidR="003D13FC" w:rsidRPr="007D0464">
        <w:rPr>
          <w:rFonts w:ascii="Calibri" w:eastAsia="Calibri" w:hAnsi="Calibri" w:cs="Calibri"/>
          <w:sz w:val="24"/>
          <w:szCs w:val="24"/>
        </w:rPr>
        <w:t>.</w:t>
      </w:r>
    </w:p>
    <w:p w14:paraId="2EA01378" w14:textId="77777777" w:rsidR="00C97188" w:rsidRDefault="00C97188" w:rsidP="003D40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Summary – Key Points</w:t>
      </w:r>
    </w:p>
    <w:p w14:paraId="36E6ED42" w14:textId="518D35B1" w:rsidR="00C97188" w:rsidRDefault="00F53812" w:rsidP="00DC0B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Information on </w:t>
      </w:r>
      <w:r w:rsidR="00C97188">
        <w:rPr>
          <w:rFonts w:cstheme="minorHAnsi"/>
          <w:sz w:val="24"/>
          <w:szCs w:val="24"/>
        </w:rPr>
        <w:t xml:space="preserve">UK content </w:t>
      </w:r>
      <w:r w:rsidR="00DC0BB6" w:rsidRPr="00DC0BB6">
        <w:rPr>
          <w:rFonts w:cstheme="minorHAnsi"/>
          <w:sz w:val="24"/>
          <w:szCs w:val="24"/>
        </w:rPr>
        <w:t>across the lifecycle for all new energy transition projects</w:t>
      </w:r>
      <w:r>
        <w:rPr>
          <w:rFonts w:cstheme="minorHAnsi"/>
          <w:sz w:val="24"/>
          <w:szCs w:val="24"/>
        </w:rPr>
        <w:t>,</w:t>
      </w:r>
      <w:r w:rsidR="00DC0BB6" w:rsidRPr="00DC0BB6">
        <w:rPr>
          <w:rFonts w:cstheme="minorHAnsi"/>
          <w:sz w:val="24"/>
          <w:szCs w:val="24"/>
        </w:rPr>
        <w:t xml:space="preserve"> as well as</w:t>
      </w:r>
      <w:r>
        <w:rPr>
          <w:rFonts w:cstheme="minorHAnsi"/>
          <w:sz w:val="24"/>
          <w:szCs w:val="24"/>
        </w:rPr>
        <w:t xml:space="preserve"> for</w:t>
      </w:r>
      <w:r w:rsidR="00DC0BB6" w:rsidRPr="00DC0BB6">
        <w:rPr>
          <w:rFonts w:cstheme="minorHAnsi"/>
          <w:sz w:val="24"/>
          <w:szCs w:val="24"/>
        </w:rPr>
        <w:t xml:space="preserve"> </w:t>
      </w:r>
      <w:r w:rsidR="004472AE">
        <w:rPr>
          <w:rFonts w:cstheme="minorHAnsi"/>
          <w:sz w:val="24"/>
          <w:szCs w:val="24"/>
        </w:rPr>
        <w:t xml:space="preserve">offshore </w:t>
      </w:r>
      <w:r w:rsidR="00DC0BB6" w:rsidRPr="00DC0BB6">
        <w:rPr>
          <w:rFonts w:cstheme="minorHAnsi"/>
          <w:sz w:val="24"/>
          <w:szCs w:val="24"/>
        </w:rPr>
        <w:t>oil and gas decommissioning</w:t>
      </w:r>
      <w:r>
        <w:rPr>
          <w:rFonts w:cstheme="minorHAnsi"/>
          <w:sz w:val="24"/>
          <w:szCs w:val="24"/>
        </w:rPr>
        <w:t xml:space="preserve"> projects,</w:t>
      </w:r>
      <w:r w:rsidR="00DC0B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is to be</w:t>
      </w:r>
      <w:r w:rsidR="00C97188">
        <w:rPr>
          <w:rFonts w:cstheme="minorHAnsi"/>
          <w:sz w:val="24"/>
          <w:szCs w:val="24"/>
        </w:rPr>
        <w:t xml:space="preserve"> </w:t>
      </w:r>
      <w:r w:rsidR="008B6E68">
        <w:rPr>
          <w:rFonts w:cstheme="minorHAnsi"/>
          <w:sz w:val="24"/>
          <w:szCs w:val="24"/>
        </w:rPr>
        <w:t>provided to</w:t>
      </w:r>
      <w:r w:rsidR="00E80D33">
        <w:rPr>
          <w:rFonts w:cstheme="minorHAnsi"/>
          <w:sz w:val="24"/>
          <w:szCs w:val="24"/>
        </w:rPr>
        <w:t xml:space="preserve"> the North Sea Transition Authority (‘</w:t>
      </w:r>
      <w:r w:rsidR="00E80D33" w:rsidRPr="007D0464">
        <w:rPr>
          <w:rFonts w:cstheme="minorHAnsi"/>
          <w:b/>
          <w:bCs/>
          <w:sz w:val="24"/>
          <w:szCs w:val="24"/>
        </w:rPr>
        <w:t>NSTA</w:t>
      </w:r>
      <w:r w:rsidR="00E80D33">
        <w:rPr>
          <w:rFonts w:cstheme="minorHAnsi"/>
          <w:sz w:val="24"/>
          <w:szCs w:val="24"/>
        </w:rPr>
        <w:t>’)</w:t>
      </w:r>
      <w:r w:rsidR="00C97188">
        <w:rPr>
          <w:rFonts w:cstheme="minorHAnsi"/>
          <w:sz w:val="24"/>
          <w:szCs w:val="24"/>
        </w:rPr>
        <w:t xml:space="preserve"> as follows</w:t>
      </w:r>
      <w:r w:rsidR="009731E3">
        <w:rPr>
          <w:rFonts w:cstheme="minorHAnsi"/>
          <w:sz w:val="24"/>
          <w:szCs w:val="24"/>
        </w:rPr>
        <w:t>:</w:t>
      </w:r>
    </w:p>
    <w:p w14:paraId="5428DC22" w14:textId="44704794" w:rsidR="00C97188" w:rsidRPr="00FC43EE" w:rsidRDefault="00C97188" w:rsidP="009731E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C43EE">
        <w:rPr>
          <w:rFonts w:cstheme="minorHAnsi"/>
          <w:sz w:val="24"/>
          <w:szCs w:val="24"/>
        </w:rPr>
        <w:t>S</w:t>
      </w:r>
      <w:r w:rsidR="00E80D33">
        <w:rPr>
          <w:rFonts w:cstheme="minorHAnsi"/>
          <w:sz w:val="24"/>
          <w:szCs w:val="24"/>
        </w:rPr>
        <w:t xml:space="preserve">upply </w:t>
      </w:r>
      <w:r w:rsidRPr="00FC43EE">
        <w:rPr>
          <w:rFonts w:cstheme="minorHAnsi"/>
          <w:sz w:val="24"/>
          <w:szCs w:val="24"/>
        </w:rPr>
        <w:t>C</w:t>
      </w:r>
      <w:r w:rsidR="00E80D33">
        <w:rPr>
          <w:rFonts w:cstheme="minorHAnsi"/>
          <w:sz w:val="24"/>
          <w:szCs w:val="24"/>
        </w:rPr>
        <w:t xml:space="preserve">hain </w:t>
      </w:r>
      <w:r w:rsidRPr="00FC43EE">
        <w:rPr>
          <w:rFonts w:cstheme="minorHAnsi"/>
          <w:sz w:val="24"/>
          <w:szCs w:val="24"/>
        </w:rPr>
        <w:t>A</w:t>
      </w:r>
      <w:r w:rsidR="00E80D33">
        <w:rPr>
          <w:rFonts w:cstheme="minorHAnsi"/>
          <w:sz w:val="24"/>
          <w:szCs w:val="24"/>
        </w:rPr>
        <w:t xml:space="preserve">ction </w:t>
      </w:r>
      <w:r w:rsidRPr="00FC43EE">
        <w:rPr>
          <w:rFonts w:cstheme="minorHAnsi"/>
          <w:sz w:val="24"/>
          <w:szCs w:val="24"/>
        </w:rPr>
        <w:t>P</w:t>
      </w:r>
      <w:r w:rsidR="00E80D33">
        <w:rPr>
          <w:rFonts w:cstheme="minorHAnsi"/>
          <w:sz w:val="24"/>
          <w:szCs w:val="24"/>
        </w:rPr>
        <w:t>lan</w:t>
      </w:r>
      <w:r w:rsidRPr="00FC43EE">
        <w:rPr>
          <w:rFonts w:cstheme="minorHAnsi"/>
          <w:sz w:val="24"/>
          <w:szCs w:val="24"/>
        </w:rPr>
        <w:t xml:space="preserve">s </w:t>
      </w:r>
      <w:r w:rsidR="00E80D33">
        <w:rPr>
          <w:rFonts w:cstheme="minorHAnsi"/>
          <w:sz w:val="24"/>
          <w:szCs w:val="24"/>
        </w:rPr>
        <w:t>(‘</w:t>
      </w:r>
      <w:r w:rsidR="00E80D33" w:rsidRPr="007D0464">
        <w:rPr>
          <w:rFonts w:cstheme="minorHAnsi"/>
          <w:b/>
          <w:bCs/>
          <w:sz w:val="24"/>
          <w:szCs w:val="24"/>
        </w:rPr>
        <w:t>SCAPs</w:t>
      </w:r>
      <w:r w:rsidR="00E80D33">
        <w:rPr>
          <w:rFonts w:cstheme="minorHAnsi"/>
          <w:sz w:val="24"/>
          <w:szCs w:val="24"/>
        </w:rPr>
        <w:t xml:space="preserve">’) </w:t>
      </w:r>
      <w:r w:rsidRPr="00FC43EE">
        <w:rPr>
          <w:rFonts w:cstheme="minorHAnsi"/>
          <w:sz w:val="24"/>
          <w:szCs w:val="24"/>
        </w:rPr>
        <w:t>will gather information on delivery of</w:t>
      </w:r>
      <w:r w:rsidR="004472AE">
        <w:rPr>
          <w:rFonts w:cstheme="minorHAnsi"/>
          <w:sz w:val="24"/>
          <w:szCs w:val="24"/>
        </w:rPr>
        <w:t xml:space="preserve"> the</w:t>
      </w:r>
      <w:r w:rsidRPr="00FC43EE">
        <w:rPr>
          <w:rFonts w:cstheme="minorHAnsi"/>
          <w:sz w:val="24"/>
          <w:szCs w:val="24"/>
        </w:rPr>
        <w:t xml:space="preserve"> </w:t>
      </w:r>
      <w:r w:rsidR="00E80D33">
        <w:rPr>
          <w:rFonts w:cstheme="minorHAnsi"/>
          <w:sz w:val="24"/>
          <w:szCs w:val="24"/>
        </w:rPr>
        <w:t>in</w:t>
      </w:r>
      <w:r w:rsidR="00F92485">
        <w:rPr>
          <w:rFonts w:cstheme="minorHAnsi"/>
          <w:sz w:val="24"/>
          <w:szCs w:val="24"/>
        </w:rPr>
        <w:t xml:space="preserve">dustry’s </w:t>
      </w:r>
      <w:r w:rsidRPr="00FC43EE">
        <w:rPr>
          <w:rFonts w:cstheme="minorHAnsi"/>
          <w:sz w:val="24"/>
          <w:szCs w:val="24"/>
        </w:rPr>
        <w:t>N</w:t>
      </w:r>
      <w:r w:rsidR="00E80D33">
        <w:rPr>
          <w:rFonts w:cstheme="minorHAnsi"/>
          <w:sz w:val="24"/>
          <w:szCs w:val="24"/>
        </w:rPr>
        <w:t xml:space="preserve">orth </w:t>
      </w:r>
      <w:r w:rsidRPr="00FC43EE">
        <w:rPr>
          <w:rFonts w:cstheme="minorHAnsi"/>
          <w:sz w:val="24"/>
          <w:szCs w:val="24"/>
        </w:rPr>
        <w:t>S</w:t>
      </w:r>
      <w:r w:rsidR="00E80D33">
        <w:rPr>
          <w:rFonts w:cstheme="minorHAnsi"/>
          <w:sz w:val="24"/>
          <w:szCs w:val="24"/>
        </w:rPr>
        <w:t xml:space="preserve">ea </w:t>
      </w:r>
      <w:r w:rsidRPr="00FC43EE">
        <w:rPr>
          <w:rFonts w:cstheme="minorHAnsi"/>
          <w:sz w:val="24"/>
          <w:szCs w:val="24"/>
        </w:rPr>
        <w:t>T</w:t>
      </w:r>
      <w:r w:rsidR="00E80D33">
        <w:rPr>
          <w:rFonts w:cstheme="minorHAnsi"/>
          <w:sz w:val="24"/>
          <w:szCs w:val="24"/>
        </w:rPr>
        <w:t xml:space="preserve">ransition </w:t>
      </w:r>
      <w:r w:rsidRPr="00FC43EE">
        <w:rPr>
          <w:rFonts w:cstheme="minorHAnsi"/>
          <w:sz w:val="24"/>
          <w:szCs w:val="24"/>
        </w:rPr>
        <w:t>D</w:t>
      </w:r>
      <w:r w:rsidR="00E80D33">
        <w:rPr>
          <w:rFonts w:cstheme="minorHAnsi"/>
          <w:sz w:val="24"/>
          <w:szCs w:val="24"/>
        </w:rPr>
        <w:t>eal (‘</w:t>
      </w:r>
      <w:r w:rsidR="00E80D33" w:rsidRPr="007D0464">
        <w:rPr>
          <w:rFonts w:cstheme="minorHAnsi"/>
          <w:b/>
          <w:bCs/>
          <w:sz w:val="24"/>
          <w:szCs w:val="24"/>
        </w:rPr>
        <w:t>NSTD</w:t>
      </w:r>
      <w:r w:rsidR="00E80D33">
        <w:rPr>
          <w:rFonts w:cstheme="minorHAnsi"/>
          <w:sz w:val="24"/>
          <w:szCs w:val="24"/>
        </w:rPr>
        <w:t>’)</w:t>
      </w:r>
      <w:r w:rsidRPr="00FC43EE">
        <w:rPr>
          <w:rFonts w:cstheme="minorHAnsi"/>
          <w:sz w:val="24"/>
          <w:szCs w:val="24"/>
        </w:rPr>
        <w:t xml:space="preserve"> commitments</w:t>
      </w:r>
      <w:r w:rsidR="00F92485">
        <w:rPr>
          <w:rFonts w:cstheme="minorHAnsi"/>
          <w:sz w:val="24"/>
          <w:szCs w:val="24"/>
        </w:rPr>
        <w:t xml:space="preserve"> on</w:t>
      </w:r>
      <w:r w:rsidRPr="00FC43EE">
        <w:rPr>
          <w:rFonts w:cstheme="minorHAnsi"/>
          <w:sz w:val="24"/>
          <w:szCs w:val="24"/>
        </w:rPr>
        <w:t xml:space="preserve"> local </w:t>
      </w:r>
      <w:proofErr w:type="gramStart"/>
      <w:r w:rsidRPr="00FC43EE">
        <w:rPr>
          <w:rFonts w:cstheme="minorHAnsi"/>
          <w:sz w:val="24"/>
          <w:szCs w:val="24"/>
        </w:rPr>
        <w:t>content</w:t>
      </w:r>
      <w:r w:rsidR="00F92485">
        <w:rPr>
          <w:rFonts w:cstheme="minorHAnsi"/>
          <w:sz w:val="24"/>
          <w:szCs w:val="24"/>
        </w:rPr>
        <w:t>;</w:t>
      </w:r>
      <w:proofErr w:type="gramEnd"/>
      <w:r w:rsidRPr="00FC43EE">
        <w:rPr>
          <w:rFonts w:cstheme="minorHAnsi"/>
          <w:sz w:val="24"/>
          <w:szCs w:val="24"/>
        </w:rPr>
        <w:t xml:space="preserve">  </w:t>
      </w:r>
    </w:p>
    <w:p w14:paraId="3E91F86A" w14:textId="496B6B56" w:rsidR="00C97188" w:rsidRPr="00FC43EE" w:rsidRDefault="00675550" w:rsidP="009731E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C43EE">
        <w:rPr>
          <w:rStyle w:val="normaltextrun"/>
          <w:rFonts w:eastAsia="Times New Roman" w:cstheme="minorHAnsi"/>
          <w:sz w:val="24"/>
          <w:szCs w:val="24"/>
        </w:rPr>
        <w:t xml:space="preserve">UK content </w:t>
      </w:r>
      <w:r w:rsidR="00EB4D2D">
        <w:rPr>
          <w:rStyle w:val="normaltextrun"/>
          <w:rFonts w:eastAsia="Times New Roman" w:cstheme="minorHAnsi"/>
          <w:sz w:val="24"/>
          <w:szCs w:val="24"/>
        </w:rPr>
        <w:t>refers to</w:t>
      </w:r>
      <w:r w:rsidRPr="00E51A18">
        <w:rPr>
          <w:rStyle w:val="normaltextrun"/>
          <w:rFonts w:eastAsia="Times New Roman" w:cstheme="minorHAnsi"/>
          <w:sz w:val="24"/>
          <w:szCs w:val="24"/>
        </w:rPr>
        <w:t xml:space="preserve"> </w:t>
      </w:r>
      <w:r w:rsidR="00AC6621" w:rsidRPr="00E51A18">
        <w:rPr>
          <w:rStyle w:val="normaltextrun"/>
          <w:rFonts w:eastAsia="Times New Roman" w:cstheme="minorHAnsi"/>
          <w:sz w:val="24"/>
          <w:szCs w:val="24"/>
        </w:rPr>
        <w:t>goods produced</w:t>
      </w:r>
      <w:r w:rsidRPr="00E51A18">
        <w:rPr>
          <w:rStyle w:val="normaltextrun"/>
          <w:rFonts w:eastAsia="Times New Roman" w:cstheme="minorHAnsi"/>
          <w:sz w:val="24"/>
          <w:szCs w:val="24"/>
        </w:rPr>
        <w:t xml:space="preserve"> </w:t>
      </w:r>
      <w:r w:rsidR="00F92485" w:rsidRPr="00E51A18">
        <w:rPr>
          <w:rStyle w:val="normaltextrun"/>
          <w:rFonts w:eastAsia="Times New Roman" w:cstheme="minorHAnsi"/>
          <w:sz w:val="24"/>
          <w:szCs w:val="24"/>
        </w:rPr>
        <w:t>and/</w:t>
      </w:r>
      <w:r w:rsidRPr="00E51A18">
        <w:rPr>
          <w:rStyle w:val="normaltextrun"/>
          <w:rFonts w:eastAsia="Times New Roman" w:cstheme="minorHAnsi"/>
          <w:sz w:val="24"/>
          <w:szCs w:val="24"/>
        </w:rPr>
        <w:t>or</w:t>
      </w:r>
      <w:r w:rsidR="00F92485" w:rsidRPr="00E51A18">
        <w:rPr>
          <w:rStyle w:val="normaltextrun"/>
          <w:rFonts w:eastAsia="Times New Roman" w:cstheme="minorHAnsi"/>
          <w:sz w:val="24"/>
          <w:szCs w:val="24"/>
        </w:rPr>
        <w:t xml:space="preserve"> services</w:t>
      </w:r>
      <w:r w:rsidRPr="00E51A18">
        <w:rPr>
          <w:rStyle w:val="normaltextrun"/>
          <w:rFonts w:eastAsia="Times New Roman" w:cstheme="minorHAnsi"/>
          <w:sz w:val="24"/>
          <w:szCs w:val="24"/>
        </w:rPr>
        <w:t xml:space="preserve"> </w:t>
      </w:r>
      <w:r w:rsidR="00E51A18">
        <w:rPr>
          <w:rStyle w:val="normaltextrun"/>
          <w:rFonts w:eastAsia="Times New Roman" w:cstheme="minorHAnsi"/>
          <w:sz w:val="24"/>
          <w:szCs w:val="24"/>
        </w:rPr>
        <w:t xml:space="preserve">that are </w:t>
      </w:r>
      <w:r w:rsidRPr="00E51A18">
        <w:rPr>
          <w:rStyle w:val="normaltextrun"/>
          <w:rFonts w:eastAsia="Times New Roman" w:cstheme="minorHAnsi"/>
          <w:sz w:val="24"/>
          <w:szCs w:val="24"/>
        </w:rPr>
        <w:t>provided by a company</w:t>
      </w:r>
      <w:r w:rsidR="00701A36" w:rsidRPr="00E51A18">
        <w:rPr>
          <w:rStyle w:val="normaltextrun"/>
          <w:rFonts w:eastAsia="Times New Roman" w:cstheme="minorHAnsi"/>
          <w:sz w:val="24"/>
          <w:szCs w:val="24"/>
        </w:rPr>
        <w:t xml:space="preserve"> </w:t>
      </w:r>
      <w:r w:rsidRPr="00E51A18">
        <w:rPr>
          <w:rStyle w:val="normaltextrun"/>
          <w:rFonts w:eastAsia="Times New Roman" w:cstheme="minorHAnsi"/>
          <w:sz w:val="24"/>
          <w:szCs w:val="24"/>
        </w:rPr>
        <w:t xml:space="preserve">carrying on business in the </w:t>
      </w:r>
      <w:proofErr w:type="gramStart"/>
      <w:r w:rsidRPr="00E51A18">
        <w:rPr>
          <w:rStyle w:val="normaltextrun"/>
          <w:rFonts w:eastAsia="Times New Roman" w:cstheme="minorHAnsi"/>
          <w:sz w:val="24"/>
          <w:szCs w:val="24"/>
        </w:rPr>
        <w:t>UK</w:t>
      </w:r>
      <w:r w:rsidR="00F92485">
        <w:rPr>
          <w:rStyle w:val="normaltextrun"/>
          <w:rFonts w:eastAsia="Times New Roman" w:cstheme="minorHAnsi"/>
          <w:sz w:val="24"/>
          <w:szCs w:val="24"/>
        </w:rPr>
        <w:t>;</w:t>
      </w:r>
      <w:proofErr w:type="gramEnd"/>
    </w:p>
    <w:p w14:paraId="00F3E236" w14:textId="192AEE26" w:rsidR="00C97188" w:rsidRPr="00FC43EE" w:rsidRDefault="00701A36" w:rsidP="009731E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</w:t>
      </w:r>
      <w:r w:rsidR="00C97188" w:rsidRPr="00FC43EE">
        <w:rPr>
          <w:rFonts w:cstheme="minorHAnsi"/>
          <w:sz w:val="24"/>
          <w:szCs w:val="24"/>
        </w:rPr>
        <w:t xml:space="preserve"> operator</w:t>
      </w:r>
      <w:r w:rsidR="004472AE">
        <w:rPr>
          <w:rFonts w:cstheme="minorHAnsi"/>
          <w:sz w:val="24"/>
          <w:szCs w:val="24"/>
        </w:rPr>
        <w:t>s</w:t>
      </w:r>
      <w:r w:rsidR="00C97188" w:rsidRPr="00FC43EE">
        <w:rPr>
          <w:rFonts w:cstheme="minorHAnsi"/>
          <w:sz w:val="24"/>
          <w:szCs w:val="24"/>
        </w:rPr>
        <w:t xml:space="preserve"> will </w:t>
      </w:r>
      <w:r w:rsidR="00BF6A07" w:rsidRPr="00FC43EE">
        <w:rPr>
          <w:rFonts w:cstheme="minorHAnsi"/>
          <w:sz w:val="24"/>
          <w:szCs w:val="24"/>
        </w:rPr>
        <w:t xml:space="preserve">gather </w:t>
      </w:r>
      <w:r w:rsidR="00F53812">
        <w:rPr>
          <w:rFonts w:cstheme="minorHAnsi"/>
          <w:sz w:val="24"/>
          <w:szCs w:val="24"/>
        </w:rPr>
        <w:t xml:space="preserve">relevant </w:t>
      </w:r>
      <w:r w:rsidR="00BF6A07" w:rsidRPr="00FC43EE">
        <w:rPr>
          <w:rFonts w:cstheme="minorHAnsi"/>
          <w:sz w:val="24"/>
          <w:szCs w:val="24"/>
        </w:rPr>
        <w:t>data from</w:t>
      </w:r>
      <w:r w:rsidR="00C97188" w:rsidRPr="00FC43EE">
        <w:rPr>
          <w:rFonts w:cstheme="minorHAnsi"/>
          <w:sz w:val="24"/>
          <w:szCs w:val="24"/>
        </w:rPr>
        <w:t xml:space="preserve"> their chosen</w:t>
      </w:r>
      <w:r w:rsidR="00D00DD9" w:rsidRPr="00FC43EE">
        <w:rPr>
          <w:rFonts w:cstheme="minorHAnsi"/>
          <w:sz w:val="24"/>
          <w:szCs w:val="24"/>
        </w:rPr>
        <w:t xml:space="preserve"> main contractor(s)</w:t>
      </w:r>
      <w:r w:rsidR="00C97188" w:rsidRPr="00FC43EE">
        <w:rPr>
          <w:rFonts w:cstheme="minorHAnsi"/>
          <w:sz w:val="24"/>
          <w:szCs w:val="24"/>
        </w:rPr>
        <w:t xml:space="preserve"> </w:t>
      </w:r>
      <w:r w:rsidR="00E926A1" w:rsidRPr="00FC43EE">
        <w:rPr>
          <w:rFonts w:cstheme="minorHAnsi"/>
          <w:sz w:val="24"/>
          <w:szCs w:val="24"/>
        </w:rPr>
        <w:t>(</w:t>
      </w:r>
      <w:r w:rsidR="00477CB3">
        <w:rPr>
          <w:rFonts w:cstheme="minorHAnsi"/>
          <w:sz w:val="24"/>
          <w:szCs w:val="24"/>
        </w:rPr>
        <w:t xml:space="preserve">e.g. </w:t>
      </w:r>
      <w:r w:rsidR="00C97188" w:rsidRPr="00FC43EE">
        <w:rPr>
          <w:rFonts w:cstheme="minorHAnsi"/>
          <w:sz w:val="24"/>
          <w:szCs w:val="24"/>
        </w:rPr>
        <w:t>Tier 1</w:t>
      </w:r>
      <w:r w:rsidR="00477CB3">
        <w:rPr>
          <w:rFonts w:cstheme="minorHAnsi"/>
          <w:sz w:val="24"/>
          <w:szCs w:val="24"/>
        </w:rPr>
        <w:t xml:space="preserve"> /EPC</w:t>
      </w:r>
      <w:r w:rsidR="00D06532">
        <w:rPr>
          <w:rFonts w:cstheme="minorHAnsi"/>
          <w:sz w:val="24"/>
          <w:szCs w:val="24"/>
        </w:rPr>
        <w:t xml:space="preserve"> Contractor(s)</w:t>
      </w:r>
      <w:r w:rsidR="00E926A1" w:rsidRPr="00FC43EE">
        <w:rPr>
          <w:rFonts w:cstheme="minorHAnsi"/>
          <w:sz w:val="24"/>
          <w:szCs w:val="24"/>
        </w:rPr>
        <w:t>)</w:t>
      </w:r>
      <w:r w:rsidR="00C97188" w:rsidRPr="00FC43EE">
        <w:rPr>
          <w:rFonts w:cstheme="minorHAnsi"/>
          <w:sz w:val="24"/>
          <w:szCs w:val="24"/>
        </w:rPr>
        <w:t xml:space="preserve"> and will demonstrate that </w:t>
      </w:r>
      <w:r w:rsidR="003A0560" w:rsidRPr="00FC43EE">
        <w:rPr>
          <w:rFonts w:cstheme="minorHAnsi"/>
          <w:sz w:val="24"/>
          <w:szCs w:val="24"/>
        </w:rPr>
        <w:t xml:space="preserve">the </w:t>
      </w:r>
      <w:r w:rsidR="00A96F23">
        <w:rPr>
          <w:rFonts w:cstheme="minorHAnsi"/>
          <w:sz w:val="24"/>
          <w:szCs w:val="24"/>
        </w:rPr>
        <w:t xml:space="preserve">relevant </w:t>
      </w:r>
      <w:r w:rsidR="003A0560" w:rsidRPr="00FC43EE">
        <w:rPr>
          <w:rFonts w:cstheme="minorHAnsi"/>
          <w:sz w:val="24"/>
          <w:szCs w:val="24"/>
        </w:rPr>
        <w:t>NSTD</w:t>
      </w:r>
      <w:r>
        <w:rPr>
          <w:rFonts w:cstheme="minorHAnsi"/>
          <w:sz w:val="24"/>
          <w:szCs w:val="24"/>
        </w:rPr>
        <w:t xml:space="preserve"> </w:t>
      </w:r>
      <w:r w:rsidR="00C97188" w:rsidRPr="00FC43EE">
        <w:rPr>
          <w:rFonts w:cstheme="minorHAnsi"/>
          <w:sz w:val="24"/>
          <w:szCs w:val="24"/>
        </w:rPr>
        <w:t>commitments</w:t>
      </w:r>
      <w:r w:rsidR="00312AAB">
        <w:rPr>
          <w:rFonts w:cstheme="minorHAnsi"/>
          <w:sz w:val="24"/>
          <w:szCs w:val="24"/>
        </w:rPr>
        <w:t xml:space="preserve"> have been considered </w:t>
      </w:r>
      <w:r w:rsidR="00C97188" w:rsidRPr="00FC43EE">
        <w:rPr>
          <w:rFonts w:cstheme="minorHAnsi"/>
          <w:sz w:val="24"/>
          <w:szCs w:val="24"/>
        </w:rPr>
        <w:t>throughout their full supply chain</w:t>
      </w:r>
      <w:r>
        <w:rPr>
          <w:rFonts w:cstheme="minorHAnsi"/>
          <w:sz w:val="24"/>
          <w:szCs w:val="24"/>
        </w:rPr>
        <w:t xml:space="preserve"> where applicable</w:t>
      </w:r>
      <w:r w:rsidR="00F92485">
        <w:rPr>
          <w:rFonts w:cstheme="minorHAnsi"/>
          <w:sz w:val="24"/>
          <w:szCs w:val="24"/>
        </w:rPr>
        <w:t>;</w:t>
      </w:r>
      <w:r w:rsidR="002E6464">
        <w:rPr>
          <w:rFonts w:cstheme="minorHAnsi"/>
          <w:sz w:val="24"/>
          <w:szCs w:val="24"/>
        </w:rPr>
        <w:t xml:space="preserve"> and,</w:t>
      </w:r>
    </w:p>
    <w:p w14:paraId="2739F415" w14:textId="5509999D" w:rsidR="00C97188" w:rsidRPr="00FC43EE" w:rsidRDefault="00A96F23" w:rsidP="67020A5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C97188" w:rsidRPr="67020A5B">
        <w:rPr>
          <w:sz w:val="24"/>
          <w:szCs w:val="24"/>
        </w:rPr>
        <w:t xml:space="preserve">he current SCAP process </w:t>
      </w:r>
      <w:r w:rsidR="0014217C">
        <w:rPr>
          <w:sz w:val="24"/>
          <w:szCs w:val="24"/>
        </w:rPr>
        <w:t>ask</w:t>
      </w:r>
      <w:r w:rsidR="00C97188" w:rsidRPr="67020A5B">
        <w:rPr>
          <w:sz w:val="24"/>
          <w:szCs w:val="24"/>
        </w:rPr>
        <w:t xml:space="preserve">s </w:t>
      </w:r>
      <w:r w:rsidR="0014217C">
        <w:rPr>
          <w:sz w:val="24"/>
          <w:szCs w:val="24"/>
        </w:rPr>
        <w:t>o</w:t>
      </w:r>
      <w:r w:rsidR="00C97188" w:rsidRPr="67020A5B">
        <w:rPr>
          <w:sz w:val="24"/>
          <w:szCs w:val="24"/>
        </w:rPr>
        <w:t xml:space="preserve">perators to </w:t>
      </w:r>
      <w:r w:rsidR="00F019CF" w:rsidRPr="67020A5B">
        <w:rPr>
          <w:sz w:val="24"/>
          <w:szCs w:val="24"/>
        </w:rPr>
        <w:t>provide relevant</w:t>
      </w:r>
      <w:r w:rsidR="0FEB1A21" w:rsidRPr="0594D45F">
        <w:rPr>
          <w:sz w:val="24"/>
          <w:szCs w:val="24"/>
        </w:rPr>
        <w:t xml:space="preserve"> </w:t>
      </w:r>
      <w:r w:rsidR="0FEB1A21" w:rsidRPr="6242BE57">
        <w:rPr>
          <w:sz w:val="24"/>
          <w:szCs w:val="24"/>
        </w:rPr>
        <w:t>information</w:t>
      </w:r>
      <w:r w:rsidR="00C97188" w:rsidRPr="67020A5B">
        <w:rPr>
          <w:sz w:val="24"/>
          <w:szCs w:val="24"/>
        </w:rPr>
        <w:t xml:space="preserve"> on tenders</w:t>
      </w:r>
      <w:r w:rsidR="009930B6">
        <w:rPr>
          <w:sz w:val="24"/>
          <w:szCs w:val="24"/>
        </w:rPr>
        <w:t>,</w:t>
      </w:r>
      <w:r w:rsidR="00C97188" w:rsidRPr="67020A5B">
        <w:rPr>
          <w:sz w:val="24"/>
          <w:szCs w:val="24"/>
        </w:rPr>
        <w:t xml:space="preserve"> and this same process will be used to </w:t>
      </w:r>
      <w:r w:rsidR="002E6464" w:rsidRPr="67020A5B">
        <w:rPr>
          <w:sz w:val="24"/>
          <w:szCs w:val="24"/>
        </w:rPr>
        <w:t>monitor local</w:t>
      </w:r>
      <w:r w:rsidR="00C97188" w:rsidRPr="67020A5B">
        <w:rPr>
          <w:sz w:val="24"/>
          <w:szCs w:val="24"/>
        </w:rPr>
        <w:t xml:space="preserve"> </w:t>
      </w:r>
      <w:r w:rsidR="00622279" w:rsidRPr="67020A5B">
        <w:rPr>
          <w:sz w:val="24"/>
          <w:szCs w:val="24"/>
        </w:rPr>
        <w:t>supply chain</w:t>
      </w:r>
      <w:r w:rsidR="006A1661">
        <w:rPr>
          <w:sz w:val="24"/>
          <w:szCs w:val="24"/>
        </w:rPr>
        <w:t xml:space="preserve"> content</w:t>
      </w:r>
      <w:r w:rsidR="00622279" w:rsidRPr="67020A5B">
        <w:rPr>
          <w:sz w:val="24"/>
          <w:szCs w:val="24"/>
        </w:rPr>
        <w:t xml:space="preserve"> </w:t>
      </w:r>
      <w:r w:rsidR="00C97188" w:rsidRPr="67020A5B">
        <w:rPr>
          <w:sz w:val="24"/>
          <w:szCs w:val="24"/>
        </w:rPr>
        <w:t>and a</w:t>
      </w:r>
      <w:r w:rsidR="006A1661">
        <w:rPr>
          <w:sz w:val="24"/>
          <w:szCs w:val="24"/>
        </w:rPr>
        <w:t>ssist</w:t>
      </w:r>
      <w:r w:rsidR="00C97188" w:rsidRPr="67020A5B">
        <w:rPr>
          <w:sz w:val="24"/>
          <w:szCs w:val="24"/>
        </w:rPr>
        <w:t xml:space="preserve"> the NSTA to identify gaps in UK capability. </w:t>
      </w:r>
    </w:p>
    <w:p w14:paraId="7E405007" w14:textId="75558186" w:rsidR="00C97188" w:rsidRDefault="00C971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C56EA59" w14:textId="77777777" w:rsidR="00C97188" w:rsidRDefault="00C97188" w:rsidP="003D4027">
      <w:pPr>
        <w:rPr>
          <w:b/>
          <w:bCs/>
          <w:sz w:val="28"/>
          <w:szCs w:val="28"/>
        </w:rPr>
      </w:pPr>
    </w:p>
    <w:p w14:paraId="5260C8B3" w14:textId="77777777" w:rsidR="00C97188" w:rsidRDefault="00C97188" w:rsidP="003D4027">
      <w:pPr>
        <w:rPr>
          <w:b/>
          <w:bCs/>
          <w:sz w:val="28"/>
          <w:szCs w:val="28"/>
        </w:rPr>
      </w:pPr>
    </w:p>
    <w:p w14:paraId="74C5097F" w14:textId="044B2897" w:rsidR="003D4027" w:rsidRDefault="003D4027" w:rsidP="003D40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Introduction </w:t>
      </w:r>
    </w:p>
    <w:p w14:paraId="3675C90E" w14:textId="35F63083" w:rsidR="00C0474E" w:rsidRDefault="00C0474E" w:rsidP="00C0474E">
      <w:pPr>
        <w:rPr>
          <w:sz w:val="24"/>
          <w:szCs w:val="24"/>
        </w:rPr>
      </w:pPr>
      <w:r w:rsidRPr="00C0474E">
        <w:rPr>
          <w:sz w:val="24"/>
          <w:szCs w:val="24"/>
        </w:rPr>
        <w:t>Agreed in March 2021, the North Sea Transition Deal</w:t>
      </w:r>
      <w:r w:rsidR="00C137FE">
        <w:rPr>
          <w:rStyle w:val="FootnoteReference"/>
          <w:sz w:val="24"/>
          <w:szCs w:val="24"/>
        </w:rPr>
        <w:footnoteReference w:id="2"/>
      </w:r>
      <w:r w:rsidR="0029609F">
        <w:rPr>
          <w:sz w:val="24"/>
          <w:szCs w:val="24"/>
        </w:rPr>
        <w:t xml:space="preserve"> (</w:t>
      </w:r>
      <w:r w:rsidR="00F53812">
        <w:rPr>
          <w:sz w:val="24"/>
          <w:szCs w:val="24"/>
        </w:rPr>
        <w:t>‘</w:t>
      </w:r>
      <w:r w:rsidR="0029609F" w:rsidRPr="007D0464">
        <w:rPr>
          <w:b/>
          <w:bCs/>
          <w:sz w:val="24"/>
          <w:szCs w:val="24"/>
        </w:rPr>
        <w:t>NSTD</w:t>
      </w:r>
      <w:r w:rsidR="00F53812">
        <w:rPr>
          <w:sz w:val="24"/>
          <w:szCs w:val="24"/>
        </w:rPr>
        <w:t>’</w:t>
      </w:r>
      <w:r w:rsidR="0029609F">
        <w:rPr>
          <w:sz w:val="24"/>
          <w:szCs w:val="24"/>
        </w:rPr>
        <w:t>)</w:t>
      </w:r>
      <w:r w:rsidRPr="00C0474E">
        <w:rPr>
          <w:sz w:val="24"/>
          <w:szCs w:val="24"/>
        </w:rPr>
        <w:t xml:space="preserve"> is a transformative partnership between the UK Government and the UK’s offshore oil and gas sector. It will harness the power of the UK offshore oil and gas industry</w:t>
      </w:r>
      <w:r w:rsidR="00F53812">
        <w:rPr>
          <w:sz w:val="24"/>
          <w:szCs w:val="24"/>
        </w:rPr>
        <w:t xml:space="preserve"> looking</w:t>
      </w:r>
      <w:r w:rsidRPr="00C0474E">
        <w:rPr>
          <w:sz w:val="24"/>
          <w:szCs w:val="24"/>
        </w:rPr>
        <w:t xml:space="preserve"> to </w:t>
      </w:r>
      <w:r w:rsidR="00F53812">
        <w:rPr>
          <w:sz w:val="24"/>
          <w:szCs w:val="24"/>
        </w:rPr>
        <w:t>create a</w:t>
      </w:r>
      <w:r w:rsidR="00F53812" w:rsidRPr="00C0474E">
        <w:rPr>
          <w:sz w:val="24"/>
          <w:szCs w:val="24"/>
        </w:rPr>
        <w:t xml:space="preserve"> </w:t>
      </w:r>
      <w:r w:rsidRPr="00C0474E">
        <w:rPr>
          <w:sz w:val="24"/>
          <w:szCs w:val="24"/>
        </w:rPr>
        <w:t xml:space="preserve">net-zero </w:t>
      </w:r>
      <w:r w:rsidR="00F53812">
        <w:rPr>
          <w:sz w:val="24"/>
          <w:szCs w:val="24"/>
        </w:rPr>
        <w:t xml:space="preserve">basin </w:t>
      </w:r>
      <w:r w:rsidRPr="00C0474E">
        <w:rPr>
          <w:sz w:val="24"/>
          <w:szCs w:val="24"/>
        </w:rPr>
        <w:t>by 2050, and in the process, unlock up to £16bn in investment</w:t>
      </w:r>
      <w:r w:rsidR="006B6D42">
        <w:rPr>
          <w:sz w:val="24"/>
          <w:szCs w:val="24"/>
        </w:rPr>
        <w:t xml:space="preserve"> by 2030</w:t>
      </w:r>
      <w:r w:rsidRPr="00C0474E">
        <w:rPr>
          <w:sz w:val="24"/>
          <w:szCs w:val="24"/>
        </w:rPr>
        <w:t xml:space="preserve">, </w:t>
      </w:r>
      <w:r w:rsidR="006B6D42">
        <w:rPr>
          <w:sz w:val="24"/>
          <w:szCs w:val="24"/>
        </w:rPr>
        <w:t>support for</w:t>
      </w:r>
      <w:r w:rsidR="006B6D42" w:rsidRPr="00C0474E">
        <w:rPr>
          <w:sz w:val="24"/>
          <w:szCs w:val="24"/>
        </w:rPr>
        <w:t xml:space="preserve"> </w:t>
      </w:r>
      <w:r w:rsidRPr="00C0474E">
        <w:rPr>
          <w:sz w:val="24"/>
          <w:szCs w:val="24"/>
        </w:rPr>
        <w:t xml:space="preserve">up to 40,000 </w:t>
      </w:r>
      <w:r w:rsidR="006B6D42">
        <w:rPr>
          <w:sz w:val="24"/>
          <w:szCs w:val="24"/>
        </w:rPr>
        <w:t>supply chain jobs</w:t>
      </w:r>
      <w:r w:rsidRPr="00C0474E">
        <w:rPr>
          <w:sz w:val="24"/>
          <w:szCs w:val="24"/>
        </w:rPr>
        <w:t xml:space="preserve">, reduce emissions by up to </w:t>
      </w:r>
      <w:r w:rsidR="00885420">
        <w:rPr>
          <w:sz w:val="24"/>
          <w:szCs w:val="24"/>
        </w:rPr>
        <w:t>60Mt</w:t>
      </w:r>
      <w:r w:rsidR="004A71C9">
        <w:rPr>
          <w:sz w:val="24"/>
          <w:szCs w:val="24"/>
        </w:rPr>
        <w:t xml:space="preserve"> </w:t>
      </w:r>
      <w:r w:rsidR="002E6464">
        <w:rPr>
          <w:sz w:val="24"/>
          <w:szCs w:val="24"/>
        </w:rPr>
        <w:t>(</w:t>
      </w:r>
      <w:r w:rsidR="004A71C9" w:rsidRPr="00571F43">
        <w:rPr>
          <w:sz w:val="24"/>
          <w:szCs w:val="24"/>
        </w:rPr>
        <w:t>including 15Mt through the progressive decarbonisation of UKCS production</w:t>
      </w:r>
      <w:r w:rsidR="002E6464">
        <w:rPr>
          <w:sz w:val="24"/>
          <w:szCs w:val="24"/>
        </w:rPr>
        <w:t>)</w:t>
      </w:r>
      <w:r w:rsidRPr="00C0474E">
        <w:rPr>
          <w:sz w:val="24"/>
          <w:szCs w:val="24"/>
        </w:rPr>
        <w:t xml:space="preserve"> and </w:t>
      </w:r>
      <w:r w:rsidR="006B6D42">
        <w:rPr>
          <w:sz w:val="24"/>
          <w:szCs w:val="24"/>
        </w:rPr>
        <w:t>a voluntary industry</w:t>
      </w:r>
      <w:r w:rsidR="00142817">
        <w:rPr>
          <w:sz w:val="24"/>
          <w:szCs w:val="24"/>
        </w:rPr>
        <w:t xml:space="preserve"> target</w:t>
      </w:r>
      <w:r w:rsidR="006B6D42" w:rsidRPr="00C0474E">
        <w:rPr>
          <w:sz w:val="24"/>
          <w:szCs w:val="24"/>
        </w:rPr>
        <w:t xml:space="preserve"> </w:t>
      </w:r>
      <w:r w:rsidRPr="00C0474E">
        <w:rPr>
          <w:sz w:val="24"/>
          <w:szCs w:val="24"/>
        </w:rPr>
        <w:t>that local content accounts for half the inputs into new energy</w:t>
      </w:r>
      <w:r w:rsidR="00F15CEA">
        <w:rPr>
          <w:sz w:val="24"/>
          <w:szCs w:val="24"/>
        </w:rPr>
        <w:t xml:space="preserve"> transition</w:t>
      </w:r>
      <w:r w:rsidRPr="00C0474E">
        <w:rPr>
          <w:sz w:val="24"/>
          <w:szCs w:val="24"/>
        </w:rPr>
        <w:t xml:space="preserve"> projects</w:t>
      </w:r>
      <w:r>
        <w:rPr>
          <w:sz w:val="24"/>
          <w:szCs w:val="24"/>
        </w:rPr>
        <w:t xml:space="preserve"> and 30% of </w:t>
      </w:r>
      <w:r w:rsidR="009C2B5B">
        <w:rPr>
          <w:sz w:val="24"/>
          <w:szCs w:val="24"/>
        </w:rPr>
        <w:t xml:space="preserve">locally provided </w:t>
      </w:r>
      <w:r>
        <w:rPr>
          <w:sz w:val="24"/>
          <w:szCs w:val="24"/>
        </w:rPr>
        <w:t>technology.</w:t>
      </w:r>
    </w:p>
    <w:p w14:paraId="39D95882" w14:textId="64BB7F11" w:rsidR="009F0E6F" w:rsidRPr="0094020F" w:rsidRDefault="58379986" w:rsidP="58379986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4020F">
        <w:rPr>
          <w:rFonts w:ascii="Calibri" w:eastAsia="Calibri" w:hAnsi="Calibri" w:cs="Calibri"/>
          <w:b/>
          <w:bCs/>
          <w:sz w:val="24"/>
          <w:szCs w:val="24"/>
        </w:rPr>
        <w:t>Mechanisms</w:t>
      </w:r>
    </w:p>
    <w:p w14:paraId="2E72CC72" w14:textId="653B68C3" w:rsidR="001034B8" w:rsidRDefault="001F7050" w:rsidP="5837998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he NSTA will apply its established processes and tools </w:t>
      </w:r>
      <w:r w:rsidR="00D10BA6">
        <w:rPr>
          <w:rFonts w:ascii="Calibri" w:eastAsia="Calibri" w:hAnsi="Calibri" w:cs="Calibri"/>
          <w:sz w:val="24"/>
          <w:szCs w:val="24"/>
        </w:rPr>
        <w:t>in suppo</w:t>
      </w:r>
      <w:r w:rsidR="00660716">
        <w:rPr>
          <w:rFonts w:ascii="Calibri" w:eastAsia="Calibri" w:hAnsi="Calibri" w:cs="Calibri"/>
          <w:sz w:val="24"/>
          <w:szCs w:val="24"/>
        </w:rPr>
        <w:t>rt</w:t>
      </w:r>
      <w:r w:rsidR="00142817">
        <w:rPr>
          <w:rFonts w:ascii="Calibri" w:eastAsia="Calibri" w:hAnsi="Calibri" w:cs="Calibri"/>
          <w:sz w:val="24"/>
          <w:szCs w:val="24"/>
        </w:rPr>
        <w:t xml:space="preserve"> of the NSTD</w:t>
      </w:r>
      <w:r w:rsidR="002E6464">
        <w:rPr>
          <w:rFonts w:ascii="Calibri" w:eastAsia="Calibri" w:hAnsi="Calibri" w:cs="Calibri"/>
          <w:sz w:val="24"/>
          <w:szCs w:val="24"/>
        </w:rPr>
        <w:t>, where appropriate</w:t>
      </w:r>
      <w:r w:rsidR="58379986" w:rsidRPr="0094020F">
        <w:rPr>
          <w:rFonts w:ascii="Calibri" w:eastAsia="Calibri" w:hAnsi="Calibri" w:cs="Calibri"/>
          <w:sz w:val="24"/>
          <w:szCs w:val="24"/>
        </w:rPr>
        <w:t>.  In particular</w:t>
      </w:r>
      <w:r w:rsidR="00FE32F3">
        <w:rPr>
          <w:rFonts w:ascii="Calibri" w:eastAsia="Calibri" w:hAnsi="Calibri" w:cs="Calibri"/>
          <w:sz w:val="24"/>
          <w:szCs w:val="24"/>
        </w:rPr>
        <w:t>,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 </w:t>
      </w:r>
      <w:r w:rsidR="002E6464">
        <w:rPr>
          <w:rFonts w:ascii="Calibri" w:eastAsia="Calibri" w:hAnsi="Calibri" w:cs="Calibri"/>
          <w:sz w:val="24"/>
          <w:szCs w:val="24"/>
        </w:rPr>
        <w:t>SCAPs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 will be used to </w:t>
      </w:r>
      <w:r w:rsidR="00FE32F3">
        <w:rPr>
          <w:rFonts w:ascii="Calibri" w:eastAsia="Calibri" w:hAnsi="Calibri" w:cs="Calibri"/>
          <w:sz w:val="24"/>
          <w:szCs w:val="24"/>
        </w:rPr>
        <w:t>record</w:t>
      </w:r>
      <w:r w:rsidR="00FE32F3" w:rsidRPr="0094020F">
        <w:rPr>
          <w:rFonts w:ascii="Calibri" w:eastAsia="Calibri" w:hAnsi="Calibri" w:cs="Calibri"/>
          <w:sz w:val="24"/>
          <w:szCs w:val="24"/>
        </w:rPr>
        <w:t xml:space="preserve"> </w:t>
      </w:r>
      <w:r w:rsidR="58379986" w:rsidRPr="0094020F">
        <w:rPr>
          <w:rFonts w:ascii="Calibri" w:eastAsia="Calibri" w:hAnsi="Calibri" w:cs="Calibri"/>
          <w:sz w:val="24"/>
          <w:szCs w:val="24"/>
        </w:rPr>
        <w:t>information and drive positive behaviour</w:t>
      </w:r>
      <w:r w:rsidR="00FE32F3">
        <w:rPr>
          <w:rFonts w:ascii="Calibri" w:eastAsia="Calibri" w:hAnsi="Calibri" w:cs="Calibri"/>
          <w:sz w:val="24"/>
          <w:szCs w:val="24"/>
        </w:rPr>
        <w:t>s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 over a number of </w:t>
      </w:r>
      <w:proofErr w:type="gramStart"/>
      <w:r w:rsidR="58379986" w:rsidRPr="0094020F">
        <w:rPr>
          <w:rFonts w:ascii="Calibri" w:eastAsia="Calibri" w:hAnsi="Calibri" w:cs="Calibri"/>
          <w:sz w:val="24"/>
          <w:szCs w:val="24"/>
        </w:rPr>
        <w:t>areas</w:t>
      </w:r>
      <w:r w:rsidR="00AE2795" w:rsidRPr="0064170D">
        <w:rPr>
          <w:rFonts w:ascii="Calibri" w:eastAsia="Calibri" w:hAnsi="Calibri" w:cs="Calibri"/>
          <w:sz w:val="24"/>
          <w:szCs w:val="24"/>
        </w:rPr>
        <w:t>, and</w:t>
      </w:r>
      <w:proofErr w:type="gramEnd"/>
      <w:r w:rsidR="00AE2795" w:rsidRPr="0064170D">
        <w:rPr>
          <w:rFonts w:ascii="Calibri" w:eastAsia="Calibri" w:hAnsi="Calibri" w:cs="Calibri"/>
          <w:sz w:val="24"/>
          <w:szCs w:val="24"/>
        </w:rPr>
        <w:t xml:space="preserve"> </w:t>
      </w:r>
      <w:r w:rsidR="005E2836">
        <w:rPr>
          <w:rFonts w:ascii="Calibri" w:eastAsia="Calibri" w:hAnsi="Calibri" w:cs="Calibri"/>
          <w:sz w:val="24"/>
          <w:szCs w:val="24"/>
        </w:rPr>
        <w:t>are</w:t>
      </w:r>
      <w:r w:rsidR="00AE2795" w:rsidRPr="0064170D">
        <w:rPr>
          <w:rFonts w:ascii="Calibri" w:eastAsia="Calibri" w:hAnsi="Calibri" w:cs="Calibri"/>
          <w:sz w:val="24"/>
          <w:szCs w:val="24"/>
        </w:rPr>
        <w:t xml:space="preserve"> intended to</w:t>
      </w:r>
      <w:r w:rsidR="58379986" w:rsidRPr="0064170D">
        <w:rPr>
          <w:rFonts w:ascii="Calibri" w:eastAsia="Calibri" w:hAnsi="Calibri" w:cs="Calibri"/>
          <w:sz w:val="24"/>
          <w:szCs w:val="24"/>
        </w:rPr>
        <w:t xml:space="preserve"> </w:t>
      </w:r>
      <w:r w:rsidR="001034B8">
        <w:rPr>
          <w:rFonts w:ascii="Calibri" w:eastAsia="Calibri" w:hAnsi="Calibri" w:cs="Calibri"/>
          <w:sz w:val="24"/>
          <w:szCs w:val="24"/>
        </w:rPr>
        <w:t>keep</w:t>
      </w:r>
      <w:r w:rsidR="58379986" w:rsidRPr="0064170D">
        <w:rPr>
          <w:rFonts w:ascii="Calibri" w:eastAsia="Calibri" w:hAnsi="Calibri" w:cs="Calibri"/>
          <w:sz w:val="24"/>
          <w:szCs w:val="24"/>
        </w:rPr>
        <w:t xml:space="preserve"> additional burden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 on </w:t>
      </w:r>
      <w:r w:rsidR="009110EC" w:rsidRPr="0094020F">
        <w:rPr>
          <w:rFonts w:ascii="Calibri" w:eastAsia="Calibri" w:hAnsi="Calibri" w:cs="Calibri"/>
          <w:sz w:val="24"/>
          <w:szCs w:val="24"/>
        </w:rPr>
        <w:t>industry</w:t>
      </w:r>
      <w:r w:rsidR="001034B8">
        <w:rPr>
          <w:rFonts w:ascii="Calibri" w:eastAsia="Calibri" w:hAnsi="Calibri" w:cs="Calibri"/>
          <w:sz w:val="24"/>
          <w:szCs w:val="24"/>
        </w:rPr>
        <w:t xml:space="preserve"> to a minimum</w:t>
      </w:r>
      <w:r w:rsidR="009110EC" w:rsidRPr="0094020F">
        <w:rPr>
          <w:rFonts w:ascii="Calibri" w:eastAsia="Calibri" w:hAnsi="Calibri" w:cs="Calibri"/>
          <w:sz w:val="24"/>
          <w:szCs w:val="24"/>
        </w:rPr>
        <w:t>.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 </w:t>
      </w:r>
    </w:p>
    <w:p w14:paraId="3FCF855E" w14:textId="03B3B795" w:rsidR="009F0E6F" w:rsidRPr="0094020F" w:rsidRDefault="00142817" w:rsidP="5837998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Potential b</w:t>
      </w:r>
      <w:r w:rsidR="00D1312D" w:rsidRPr="0094020F">
        <w:rPr>
          <w:rFonts w:ascii="Calibri" w:eastAsia="Calibri" w:hAnsi="Calibri" w:cs="Calibri"/>
          <w:sz w:val="24"/>
          <w:szCs w:val="24"/>
        </w:rPr>
        <w:t>e</w:t>
      </w:r>
      <w:r w:rsidR="00D1312D">
        <w:rPr>
          <w:rFonts w:ascii="Calibri" w:eastAsia="Calibri" w:hAnsi="Calibri" w:cs="Calibri"/>
          <w:sz w:val="24"/>
          <w:szCs w:val="24"/>
        </w:rPr>
        <w:t>n</w:t>
      </w:r>
      <w:r w:rsidR="00D1312D" w:rsidRPr="0094020F">
        <w:rPr>
          <w:rFonts w:ascii="Calibri" w:eastAsia="Calibri" w:hAnsi="Calibri" w:cs="Calibri"/>
          <w:sz w:val="24"/>
          <w:szCs w:val="24"/>
        </w:rPr>
        <w:t>efits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 to industry </w:t>
      </w:r>
      <w:r>
        <w:rPr>
          <w:rFonts w:ascii="Calibri" w:eastAsia="Calibri" w:hAnsi="Calibri" w:cs="Calibri"/>
          <w:sz w:val="24"/>
          <w:szCs w:val="24"/>
        </w:rPr>
        <w:t xml:space="preserve">of such an approach </w:t>
      </w:r>
      <w:r w:rsidR="58379986" w:rsidRPr="0094020F">
        <w:rPr>
          <w:rFonts w:ascii="Calibri" w:eastAsia="Calibri" w:hAnsi="Calibri" w:cs="Calibri"/>
          <w:sz w:val="24"/>
          <w:szCs w:val="24"/>
        </w:rPr>
        <w:t>include</w:t>
      </w:r>
      <w:r w:rsidR="00FE32F3">
        <w:rPr>
          <w:rFonts w:ascii="Calibri" w:eastAsia="Calibri" w:hAnsi="Calibri" w:cs="Calibri"/>
          <w:sz w:val="24"/>
          <w:szCs w:val="24"/>
        </w:rPr>
        <w:t>:</w:t>
      </w:r>
    </w:p>
    <w:p w14:paraId="5A2C48D6" w14:textId="037CA32B" w:rsidR="00774F0B" w:rsidRPr="009731E3" w:rsidRDefault="00774F0B" w:rsidP="00774F0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4020F">
        <w:rPr>
          <w:rFonts w:ascii="Calibri" w:eastAsia="Calibri" w:hAnsi="Calibri" w:cs="Calibri"/>
          <w:sz w:val="24"/>
          <w:szCs w:val="24"/>
        </w:rPr>
        <w:t>an a</w:t>
      </w:r>
      <w:r w:rsidR="001F7050">
        <w:rPr>
          <w:rFonts w:ascii="Calibri" w:eastAsia="Calibri" w:hAnsi="Calibri" w:cs="Calibri"/>
          <w:sz w:val="24"/>
          <w:szCs w:val="24"/>
        </w:rPr>
        <w:t>ssessment</w:t>
      </w:r>
      <w:r w:rsidRPr="0094020F">
        <w:rPr>
          <w:rFonts w:ascii="Calibri" w:eastAsia="Calibri" w:hAnsi="Calibri" w:cs="Calibri"/>
          <w:sz w:val="24"/>
          <w:szCs w:val="24"/>
        </w:rPr>
        <w:t xml:space="preserve"> of actual project delivery and a mechanism for industry to demonstrate </w:t>
      </w:r>
      <w:r w:rsidR="009430B9">
        <w:rPr>
          <w:rFonts w:ascii="Calibri" w:eastAsia="Calibri" w:hAnsi="Calibri" w:cs="Calibri"/>
          <w:sz w:val="24"/>
          <w:szCs w:val="24"/>
        </w:rPr>
        <w:t>its</w:t>
      </w:r>
      <w:r w:rsidRPr="0094020F">
        <w:rPr>
          <w:rFonts w:ascii="Calibri" w:eastAsia="Calibri" w:hAnsi="Calibri" w:cs="Calibri"/>
          <w:sz w:val="24"/>
          <w:szCs w:val="24"/>
        </w:rPr>
        <w:t xml:space="preserve"> delivery on NSTD supply chain targets</w:t>
      </w:r>
      <w:r w:rsidR="00B81A8E">
        <w:rPr>
          <w:rFonts w:ascii="Calibri" w:eastAsia="Calibri" w:hAnsi="Calibri" w:cs="Calibri"/>
          <w:sz w:val="24"/>
          <w:szCs w:val="24"/>
        </w:rPr>
        <w:t xml:space="preserve"> (50% Local UK </w:t>
      </w:r>
      <w:r w:rsidR="00B841C8">
        <w:rPr>
          <w:rFonts w:ascii="Calibri" w:eastAsia="Calibri" w:hAnsi="Calibri" w:cs="Calibri"/>
          <w:sz w:val="24"/>
          <w:szCs w:val="24"/>
        </w:rPr>
        <w:t>c</w:t>
      </w:r>
      <w:r w:rsidR="00B81A8E">
        <w:rPr>
          <w:rFonts w:ascii="Calibri" w:eastAsia="Calibri" w:hAnsi="Calibri" w:cs="Calibri"/>
          <w:sz w:val="24"/>
          <w:szCs w:val="24"/>
        </w:rPr>
        <w:t>ontent</w:t>
      </w:r>
      <w:proofErr w:type="gramStart"/>
      <w:r w:rsidR="00124E2B">
        <w:rPr>
          <w:rFonts w:ascii="Calibri" w:eastAsia="Calibri" w:hAnsi="Calibri" w:cs="Calibri"/>
          <w:sz w:val="24"/>
          <w:szCs w:val="24"/>
        </w:rPr>
        <w:t>)</w:t>
      </w:r>
      <w:r w:rsidR="00EB4D2D"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5C290274" w14:textId="1D767F6B" w:rsidR="00774F0B" w:rsidRPr="0094020F" w:rsidRDefault="00EB4D2D" w:rsidP="00774F0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67020A5B">
        <w:rPr>
          <w:rFonts w:ascii="Calibri" w:eastAsia="Calibri" w:hAnsi="Calibri" w:cs="Calibri"/>
          <w:sz w:val="24"/>
          <w:szCs w:val="24"/>
        </w:rPr>
        <w:t xml:space="preserve">using the </w:t>
      </w:r>
      <w:r w:rsidR="003A1772" w:rsidRPr="67020A5B">
        <w:rPr>
          <w:rFonts w:ascii="Calibri" w:eastAsia="Calibri" w:hAnsi="Calibri" w:cs="Calibri"/>
          <w:sz w:val="24"/>
          <w:szCs w:val="24"/>
        </w:rPr>
        <w:t>already established</w:t>
      </w:r>
      <w:r w:rsidR="00774F0B" w:rsidRPr="67020A5B">
        <w:rPr>
          <w:rFonts w:ascii="Calibri" w:eastAsia="Calibri" w:hAnsi="Calibri" w:cs="Calibri"/>
          <w:sz w:val="24"/>
          <w:szCs w:val="24"/>
        </w:rPr>
        <w:t xml:space="preserve"> SCAP</w:t>
      </w:r>
      <w:r w:rsidR="002B5118" w:rsidRPr="67020A5B">
        <w:rPr>
          <w:rFonts w:ascii="Calibri" w:eastAsia="Calibri" w:hAnsi="Calibri" w:cs="Calibri"/>
          <w:sz w:val="24"/>
          <w:szCs w:val="24"/>
        </w:rPr>
        <w:t xml:space="preserve"> process</w:t>
      </w:r>
      <w:r w:rsidR="00774F0B" w:rsidRPr="67020A5B">
        <w:rPr>
          <w:rFonts w:ascii="Calibri" w:eastAsia="Calibri" w:hAnsi="Calibri" w:cs="Calibri"/>
          <w:sz w:val="24"/>
          <w:szCs w:val="24"/>
        </w:rPr>
        <w:t xml:space="preserve"> </w:t>
      </w:r>
      <w:r w:rsidRPr="67020A5B">
        <w:rPr>
          <w:rFonts w:ascii="Calibri" w:eastAsia="Calibri" w:hAnsi="Calibri" w:cs="Calibri"/>
          <w:sz w:val="24"/>
          <w:szCs w:val="24"/>
        </w:rPr>
        <w:t>as</w:t>
      </w:r>
      <w:r w:rsidR="00774F0B" w:rsidRPr="67020A5B">
        <w:rPr>
          <w:rFonts w:ascii="Calibri" w:eastAsia="Calibri" w:hAnsi="Calibri" w:cs="Calibri"/>
          <w:sz w:val="24"/>
          <w:szCs w:val="24"/>
        </w:rPr>
        <w:t xml:space="preserve"> </w:t>
      </w:r>
      <w:r w:rsidR="00A72F4E" w:rsidRPr="67020A5B">
        <w:rPr>
          <w:rFonts w:ascii="Calibri" w:eastAsia="Calibri" w:hAnsi="Calibri" w:cs="Calibri"/>
          <w:sz w:val="24"/>
          <w:szCs w:val="24"/>
        </w:rPr>
        <w:t xml:space="preserve">a </w:t>
      </w:r>
      <w:r w:rsidR="00462CDB" w:rsidRPr="67020A5B">
        <w:rPr>
          <w:rFonts w:ascii="Calibri" w:eastAsia="Calibri" w:hAnsi="Calibri" w:cs="Calibri"/>
          <w:sz w:val="24"/>
          <w:szCs w:val="24"/>
        </w:rPr>
        <w:t>tool to collect data</w:t>
      </w:r>
      <w:r w:rsidR="00AE2795" w:rsidRPr="67020A5B">
        <w:rPr>
          <w:rFonts w:ascii="Calibri" w:eastAsia="Calibri" w:hAnsi="Calibri" w:cs="Calibri"/>
          <w:sz w:val="24"/>
          <w:szCs w:val="24"/>
        </w:rPr>
        <w:t xml:space="preserve">. </w:t>
      </w:r>
      <w:r w:rsidR="00E92BB3" w:rsidRPr="67020A5B">
        <w:rPr>
          <w:rFonts w:ascii="Calibri" w:eastAsia="Calibri" w:hAnsi="Calibri" w:cs="Calibri"/>
          <w:sz w:val="24"/>
          <w:szCs w:val="24"/>
        </w:rPr>
        <w:t>A</w:t>
      </w:r>
      <w:r w:rsidR="00774F0B" w:rsidRPr="67020A5B">
        <w:rPr>
          <w:rFonts w:ascii="Calibri" w:eastAsia="Calibri" w:hAnsi="Calibri" w:cs="Calibri"/>
          <w:sz w:val="24"/>
          <w:szCs w:val="24"/>
        </w:rPr>
        <w:t xml:space="preserve"> pragmatic approach to </w:t>
      </w:r>
      <w:r w:rsidR="00355824" w:rsidRPr="67020A5B">
        <w:rPr>
          <w:rFonts w:ascii="Calibri" w:eastAsia="Calibri" w:hAnsi="Calibri" w:cs="Calibri"/>
          <w:sz w:val="24"/>
          <w:szCs w:val="24"/>
        </w:rPr>
        <w:t>reporting</w:t>
      </w:r>
      <w:r w:rsidR="00774F0B" w:rsidRPr="67020A5B">
        <w:rPr>
          <w:rFonts w:ascii="Calibri" w:eastAsia="Calibri" w:hAnsi="Calibri" w:cs="Calibri"/>
          <w:sz w:val="24"/>
          <w:szCs w:val="24"/>
        </w:rPr>
        <w:t xml:space="preserve"> </w:t>
      </w:r>
      <w:r w:rsidR="00D43DFE">
        <w:rPr>
          <w:rFonts w:ascii="Calibri" w:eastAsia="Calibri" w:hAnsi="Calibri" w:cs="Calibri"/>
          <w:sz w:val="24"/>
          <w:szCs w:val="24"/>
        </w:rPr>
        <w:t>and disclosing</w:t>
      </w:r>
      <w:r w:rsidR="00BF0F1A" w:rsidRPr="67020A5B">
        <w:rPr>
          <w:rFonts w:ascii="Calibri" w:eastAsia="Calibri" w:hAnsi="Calibri" w:cs="Calibri"/>
          <w:sz w:val="24"/>
          <w:szCs w:val="24"/>
        </w:rPr>
        <w:t xml:space="preserve"> </w:t>
      </w:r>
      <w:r w:rsidR="000B6900">
        <w:rPr>
          <w:rFonts w:ascii="Calibri" w:eastAsia="Calibri" w:hAnsi="Calibri" w:cs="Calibri"/>
          <w:sz w:val="24"/>
          <w:szCs w:val="24"/>
        </w:rPr>
        <w:t xml:space="preserve">of </w:t>
      </w:r>
      <w:r w:rsidR="00774F0B" w:rsidRPr="67020A5B">
        <w:rPr>
          <w:rFonts w:ascii="Calibri" w:eastAsia="Calibri" w:hAnsi="Calibri" w:cs="Calibri"/>
          <w:sz w:val="24"/>
          <w:szCs w:val="24"/>
        </w:rPr>
        <w:t>the data</w:t>
      </w:r>
      <w:r w:rsidR="00E92BB3" w:rsidRPr="67020A5B">
        <w:rPr>
          <w:rFonts w:ascii="Calibri" w:eastAsia="Calibri" w:hAnsi="Calibri" w:cs="Calibri"/>
          <w:sz w:val="24"/>
          <w:szCs w:val="24"/>
        </w:rPr>
        <w:t xml:space="preserve"> (</w:t>
      </w:r>
      <w:r w:rsidR="00151443" w:rsidRPr="67020A5B">
        <w:rPr>
          <w:rFonts w:ascii="Calibri" w:eastAsia="Calibri" w:hAnsi="Calibri" w:cs="Calibri"/>
          <w:sz w:val="24"/>
          <w:szCs w:val="24"/>
        </w:rPr>
        <w:t xml:space="preserve">through </w:t>
      </w:r>
      <w:r w:rsidR="006B20AC" w:rsidRPr="67020A5B">
        <w:rPr>
          <w:rFonts w:ascii="Calibri" w:eastAsia="Calibri" w:hAnsi="Calibri" w:cs="Calibri"/>
          <w:sz w:val="24"/>
          <w:szCs w:val="24"/>
        </w:rPr>
        <w:t xml:space="preserve">industry </w:t>
      </w:r>
      <w:r w:rsidR="00151443" w:rsidRPr="67020A5B">
        <w:rPr>
          <w:rFonts w:ascii="Calibri" w:eastAsia="Calibri" w:hAnsi="Calibri" w:cs="Calibri"/>
          <w:sz w:val="24"/>
          <w:szCs w:val="24"/>
        </w:rPr>
        <w:t xml:space="preserve">consent or </w:t>
      </w:r>
      <w:r w:rsidR="009D422E" w:rsidRPr="67020A5B">
        <w:rPr>
          <w:rFonts w:ascii="Calibri" w:eastAsia="Calibri" w:hAnsi="Calibri" w:cs="Calibri"/>
          <w:sz w:val="24"/>
          <w:szCs w:val="24"/>
        </w:rPr>
        <w:t>existing</w:t>
      </w:r>
      <w:r w:rsidR="006B20AC" w:rsidRPr="67020A5B">
        <w:rPr>
          <w:rFonts w:ascii="Calibri" w:eastAsia="Calibri" w:hAnsi="Calibri" w:cs="Calibri"/>
          <w:sz w:val="24"/>
          <w:szCs w:val="24"/>
        </w:rPr>
        <w:t xml:space="preserve"> powers</w:t>
      </w:r>
      <w:r w:rsidR="009D422E" w:rsidRPr="67020A5B">
        <w:rPr>
          <w:rFonts w:ascii="Calibri" w:eastAsia="Calibri" w:hAnsi="Calibri" w:cs="Calibri"/>
          <w:sz w:val="24"/>
          <w:szCs w:val="24"/>
        </w:rPr>
        <w:t>, as appli</w:t>
      </w:r>
      <w:r w:rsidR="00783052" w:rsidRPr="67020A5B">
        <w:rPr>
          <w:rFonts w:ascii="Calibri" w:eastAsia="Calibri" w:hAnsi="Calibri" w:cs="Calibri"/>
          <w:sz w:val="24"/>
          <w:szCs w:val="24"/>
        </w:rPr>
        <w:t>cable</w:t>
      </w:r>
      <w:r w:rsidR="00454ACF" w:rsidRPr="67020A5B">
        <w:rPr>
          <w:rFonts w:ascii="Calibri" w:eastAsia="Calibri" w:hAnsi="Calibri" w:cs="Calibri"/>
          <w:sz w:val="24"/>
          <w:szCs w:val="24"/>
        </w:rPr>
        <w:t>)</w:t>
      </w:r>
      <w:r w:rsidR="00774F0B" w:rsidRPr="67020A5B">
        <w:rPr>
          <w:rFonts w:ascii="Calibri" w:eastAsia="Calibri" w:hAnsi="Calibri" w:cs="Calibri"/>
          <w:sz w:val="24"/>
          <w:szCs w:val="24"/>
        </w:rPr>
        <w:t xml:space="preserve"> </w:t>
      </w:r>
      <w:r w:rsidR="00454ACF" w:rsidRPr="67020A5B">
        <w:rPr>
          <w:rFonts w:ascii="Calibri" w:eastAsia="Calibri" w:hAnsi="Calibri" w:cs="Calibri"/>
          <w:sz w:val="24"/>
          <w:szCs w:val="24"/>
        </w:rPr>
        <w:t>could</w:t>
      </w:r>
      <w:r w:rsidR="006C51C2" w:rsidRPr="67020A5B">
        <w:rPr>
          <w:rFonts w:ascii="Calibri" w:eastAsia="Calibri" w:hAnsi="Calibri" w:cs="Calibri"/>
          <w:sz w:val="24"/>
          <w:szCs w:val="24"/>
        </w:rPr>
        <w:t xml:space="preserve"> reduce </w:t>
      </w:r>
      <w:r w:rsidR="00774F0B" w:rsidRPr="67020A5B">
        <w:rPr>
          <w:rFonts w:ascii="Calibri" w:eastAsia="Calibri" w:hAnsi="Calibri" w:cs="Calibri"/>
          <w:sz w:val="24"/>
          <w:szCs w:val="24"/>
        </w:rPr>
        <w:t xml:space="preserve">duplicative requests </w:t>
      </w:r>
      <w:r w:rsidR="001A257B" w:rsidRPr="67020A5B">
        <w:rPr>
          <w:rFonts w:ascii="Calibri" w:eastAsia="Calibri" w:hAnsi="Calibri" w:cs="Calibri"/>
          <w:sz w:val="24"/>
          <w:szCs w:val="24"/>
        </w:rPr>
        <w:t xml:space="preserve">from </w:t>
      </w:r>
      <w:r w:rsidR="00A04ABA" w:rsidRPr="67020A5B">
        <w:rPr>
          <w:rFonts w:ascii="Calibri" w:eastAsia="Calibri" w:hAnsi="Calibri" w:cs="Calibri"/>
          <w:sz w:val="24"/>
          <w:szCs w:val="24"/>
        </w:rPr>
        <w:t xml:space="preserve">Government </w:t>
      </w:r>
      <w:r w:rsidR="00774F0B" w:rsidRPr="67020A5B">
        <w:rPr>
          <w:rFonts w:ascii="Calibri" w:eastAsia="Calibri" w:hAnsi="Calibri" w:cs="Calibri"/>
          <w:sz w:val="24"/>
          <w:szCs w:val="24"/>
        </w:rPr>
        <w:t xml:space="preserve">to </w:t>
      </w:r>
      <w:proofErr w:type="gramStart"/>
      <w:r w:rsidR="00774F0B" w:rsidRPr="67020A5B">
        <w:rPr>
          <w:rFonts w:ascii="Calibri" w:eastAsia="Calibri" w:hAnsi="Calibri" w:cs="Calibri"/>
          <w:sz w:val="24"/>
          <w:szCs w:val="24"/>
        </w:rPr>
        <w:t>industry</w:t>
      </w:r>
      <w:r w:rsidR="00E54305"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410CDF45" w14:textId="3C046E2D" w:rsidR="009F0E6F" w:rsidRPr="0094020F" w:rsidRDefault="00EB4D2D" w:rsidP="008D589F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</w:t>
      </w:r>
      <w:r w:rsidR="58379986" w:rsidRPr="0094020F">
        <w:rPr>
          <w:rFonts w:ascii="Calibri" w:eastAsia="Calibri" w:hAnsi="Calibri" w:cs="Calibri"/>
          <w:sz w:val="24"/>
          <w:szCs w:val="24"/>
        </w:rPr>
        <w:t>athering comprehensive cont</w:t>
      </w:r>
      <w:r w:rsidR="00474F94">
        <w:rPr>
          <w:rFonts w:ascii="Calibri" w:eastAsia="Calibri" w:hAnsi="Calibri" w:cs="Calibri"/>
          <w:sz w:val="24"/>
          <w:szCs w:val="24"/>
        </w:rPr>
        <w:t>r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acting information </w:t>
      </w:r>
      <w:r w:rsidR="009110EC" w:rsidRPr="0094020F">
        <w:rPr>
          <w:rFonts w:ascii="Calibri" w:eastAsia="Calibri" w:hAnsi="Calibri" w:cs="Calibri"/>
          <w:sz w:val="24"/>
          <w:szCs w:val="24"/>
        </w:rPr>
        <w:t xml:space="preserve">via </w:t>
      </w:r>
      <w:r w:rsidR="002E6464" w:rsidRPr="0094020F">
        <w:rPr>
          <w:rFonts w:ascii="Calibri" w:eastAsia="Calibri" w:hAnsi="Calibri" w:cs="Calibri"/>
          <w:sz w:val="24"/>
          <w:szCs w:val="24"/>
        </w:rPr>
        <w:t>SCAP</w:t>
      </w:r>
      <w:r w:rsidR="002E6464">
        <w:rPr>
          <w:rFonts w:ascii="Calibri" w:eastAsia="Calibri" w:hAnsi="Calibri" w:cs="Calibri"/>
          <w:sz w:val="24"/>
          <w:szCs w:val="24"/>
        </w:rPr>
        <w:t>s</w:t>
      </w:r>
      <w:r w:rsidR="002E6464" w:rsidRPr="0094020F">
        <w:rPr>
          <w:rFonts w:ascii="Calibri" w:eastAsia="Calibri" w:hAnsi="Calibri" w:cs="Calibri"/>
          <w:sz w:val="24"/>
          <w:szCs w:val="24"/>
        </w:rPr>
        <w:t xml:space="preserve"> 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will quickly provide </w:t>
      </w:r>
      <w:r w:rsidR="00FE32F3">
        <w:rPr>
          <w:rFonts w:ascii="Calibri" w:eastAsia="Calibri" w:hAnsi="Calibri" w:cs="Calibri"/>
          <w:sz w:val="24"/>
          <w:szCs w:val="24"/>
        </w:rPr>
        <w:t>much needed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 </w:t>
      </w:r>
      <w:r w:rsidR="00142817">
        <w:rPr>
          <w:rFonts w:ascii="Calibri" w:eastAsia="Calibri" w:hAnsi="Calibri" w:cs="Calibri"/>
          <w:sz w:val="24"/>
          <w:szCs w:val="24"/>
        </w:rPr>
        <w:t>‘</w:t>
      </w:r>
      <w:r w:rsidR="00FE32F3">
        <w:rPr>
          <w:rFonts w:ascii="Calibri" w:eastAsia="Calibri" w:hAnsi="Calibri" w:cs="Calibri"/>
          <w:sz w:val="24"/>
          <w:szCs w:val="24"/>
        </w:rPr>
        <w:t>real-time</w:t>
      </w:r>
      <w:r w:rsidR="00142817">
        <w:rPr>
          <w:rFonts w:ascii="Calibri" w:eastAsia="Calibri" w:hAnsi="Calibri" w:cs="Calibri"/>
          <w:sz w:val="24"/>
          <w:szCs w:val="24"/>
        </w:rPr>
        <w:t xml:space="preserve">’ </w:t>
      </w:r>
      <w:r w:rsidR="00FE32F3">
        <w:rPr>
          <w:rFonts w:ascii="Calibri" w:eastAsia="Calibri" w:hAnsi="Calibri" w:cs="Calibri"/>
          <w:sz w:val="24"/>
          <w:szCs w:val="24"/>
        </w:rPr>
        <w:t>insights into</w:t>
      </w:r>
      <w:r w:rsidR="00FE32F3" w:rsidRPr="0094020F">
        <w:rPr>
          <w:rFonts w:ascii="Calibri" w:eastAsia="Calibri" w:hAnsi="Calibri" w:cs="Calibri"/>
          <w:sz w:val="24"/>
          <w:szCs w:val="24"/>
        </w:rPr>
        <w:t xml:space="preserve"> 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the </w:t>
      </w:r>
      <w:r w:rsidR="00FE32F3">
        <w:rPr>
          <w:rFonts w:ascii="Calibri" w:eastAsia="Calibri" w:hAnsi="Calibri" w:cs="Calibri"/>
          <w:sz w:val="24"/>
          <w:szCs w:val="24"/>
        </w:rPr>
        <w:t xml:space="preserve">UK 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supply chain </w:t>
      </w:r>
      <w:proofErr w:type="gramStart"/>
      <w:r w:rsidR="58379986" w:rsidRPr="0094020F">
        <w:rPr>
          <w:rFonts w:ascii="Calibri" w:eastAsia="Calibri" w:hAnsi="Calibri" w:cs="Calibri"/>
          <w:sz w:val="24"/>
          <w:szCs w:val="24"/>
        </w:rPr>
        <w:t>capability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  <w:r w:rsidR="58379986" w:rsidRPr="0094020F">
        <w:rPr>
          <w:rFonts w:ascii="Calibri" w:eastAsia="Calibri" w:hAnsi="Calibri" w:cs="Calibri"/>
          <w:sz w:val="24"/>
          <w:szCs w:val="24"/>
        </w:rPr>
        <w:t xml:space="preserve"> </w:t>
      </w:r>
    </w:p>
    <w:p w14:paraId="5E83F876" w14:textId="2A022502" w:rsidR="009F0E6F" w:rsidRPr="0094020F" w:rsidRDefault="00EB4D2D" w:rsidP="008D589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 w:rsidR="587D8C94" w:rsidRPr="0094020F">
        <w:rPr>
          <w:rFonts w:ascii="Calibri" w:eastAsia="Calibri" w:hAnsi="Calibri" w:cs="Calibri"/>
          <w:sz w:val="24"/>
          <w:szCs w:val="24"/>
        </w:rPr>
        <w:t>he SCAP process</w:t>
      </w:r>
      <w:r w:rsidR="00774F0B">
        <w:rPr>
          <w:rFonts w:ascii="Calibri" w:eastAsia="Calibri" w:hAnsi="Calibri" w:cs="Calibri"/>
          <w:sz w:val="24"/>
          <w:szCs w:val="24"/>
        </w:rPr>
        <w:t>,</w:t>
      </w:r>
      <w:r w:rsidR="587D8C94" w:rsidRPr="0094020F">
        <w:rPr>
          <w:rFonts w:ascii="Calibri" w:eastAsia="Calibri" w:hAnsi="Calibri" w:cs="Calibri"/>
          <w:sz w:val="24"/>
          <w:szCs w:val="24"/>
        </w:rPr>
        <w:t xml:space="preserve"> which is </w:t>
      </w:r>
      <w:r w:rsidR="00774F0B">
        <w:rPr>
          <w:rFonts w:ascii="Calibri" w:eastAsia="Calibri" w:hAnsi="Calibri" w:cs="Calibri"/>
          <w:sz w:val="24"/>
          <w:szCs w:val="24"/>
        </w:rPr>
        <w:t>aligned</w:t>
      </w:r>
      <w:r w:rsidR="00774F0B" w:rsidRPr="0094020F">
        <w:rPr>
          <w:rFonts w:ascii="Calibri" w:eastAsia="Calibri" w:hAnsi="Calibri" w:cs="Calibri"/>
          <w:sz w:val="24"/>
          <w:szCs w:val="24"/>
        </w:rPr>
        <w:t xml:space="preserve"> </w:t>
      </w:r>
      <w:r w:rsidR="587D8C94" w:rsidRPr="0094020F">
        <w:rPr>
          <w:rFonts w:ascii="Calibri" w:eastAsia="Calibri" w:hAnsi="Calibri" w:cs="Calibri"/>
          <w:sz w:val="24"/>
          <w:szCs w:val="24"/>
        </w:rPr>
        <w:t xml:space="preserve">to </w:t>
      </w:r>
      <w:r w:rsidR="00474F94">
        <w:rPr>
          <w:rFonts w:ascii="Calibri" w:eastAsia="Calibri" w:hAnsi="Calibri" w:cs="Calibri"/>
          <w:sz w:val="24"/>
          <w:szCs w:val="24"/>
        </w:rPr>
        <w:t xml:space="preserve">the NSTA’s </w:t>
      </w:r>
      <w:r w:rsidR="587D8C94" w:rsidRPr="0094020F">
        <w:rPr>
          <w:rFonts w:ascii="Calibri" w:eastAsia="Calibri" w:hAnsi="Calibri" w:cs="Calibri"/>
          <w:sz w:val="24"/>
          <w:szCs w:val="24"/>
        </w:rPr>
        <w:t xml:space="preserve">Supply Chain </w:t>
      </w:r>
      <w:r w:rsidR="00474F94">
        <w:rPr>
          <w:rFonts w:ascii="Calibri" w:eastAsia="Calibri" w:hAnsi="Calibri" w:cs="Calibri"/>
          <w:sz w:val="24"/>
          <w:szCs w:val="24"/>
        </w:rPr>
        <w:t xml:space="preserve">Stewardship </w:t>
      </w:r>
      <w:r w:rsidR="587D8C94" w:rsidRPr="0094020F">
        <w:rPr>
          <w:rFonts w:ascii="Calibri" w:eastAsia="Calibri" w:hAnsi="Calibri" w:cs="Calibri"/>
          <w:sz w:val="24"/>
          <w:szCs w:val="24"/>
        </w:rPr>
        <w:t>Expectation 12</w:t>
      </w:r>
      <w:r w:rsidR="0056082A">
        <w:rPr>
          <w:rStyle w:val="FootnoteReference"/>
          <w:rFonts w:ascii="Calibri" w:eastAsia="Calibri" w:hAnsi="Calibri" w:cs="Calibri"/>
          <w:sz w:val="24"/>
          <w:szCs w:val="24"/>
        </w:rPr>
        <w:footnoteReference w:id="3"/>
      </w:r>
      <w:r w:rsidR="00774F0B">
        <w:rPr>
          <w:rFonts w:ascii="Calibri" w:eastAsia="Calibri" w:hAnsi="Calibri" w:cs="Calibri"/>
          <w:sz w:val="24"/>
          <w:szCs w:val="24"/>
        </w:rPr>
        <w:t>,</w:t>
      </w:r>
      <w:r w:rsidR="587D8C94" w:rsidRPr="0094020F">
        <w:rPr>
          <w:rFonts w:ascii="Calibri" w:eastAsia="Calibri" w:hAnsi="Calibri" w:cs="Calibri"/>
          <w:sz w:val="24"/>
          <w:szCs w:val="24"/>
        </w:rPr>
        <w:t xml:space="preserve"> will drive </w:t>
      </w:r>
      <w:r w:rsidR="008A458C">
        <w:rPr>
          <w:rFonts w:ascii="Calibri" w:eastAsia="Calibri" w:hAnsi="Calibri" w:cs="Calibri"/>
          <w:sz w:val="24"/>
          <w:szCs w:val="24"/>
        </w:rPr>
        <w:t>better behaviours</w:t>
      </w:r>
      <w:r w:rsidR="587D8C94" w:rsidRPr="0094020F">
        <w:rPr>
          <w:rFonts w:ascii="Calibri" w:eastAsia="Calibri" w:hAnsi="Calibri" w:cs="Calibri"/>
          <w:sz w:val="24"/>
          <w:szCs w:val="24"/>
        </w:rPr>
        <w:t xml:space="preserve"> into contracting strategies in a transparent way</w:t>
      </w:r>
      <w:r>
        <w:rPr>
          <w:rFonts w:ascii="Calibri" w:eastAsia="Calibri" w:hAnsi="Calibri" w:cs="Calibri"/>
          <w:sz w:val="24"/>
          <w:szCs w:val="24"/>
        </w:rPr>
        <w:t>;</w:t>
      </w:r>
      <w:r w:rsidR="00142817">
        <w:rPr>
          <w:rFonts w:ascii="Calibri" w:eastAsia="Calibri" w:hAnsi="Calibri" w:cs="Calibri"/>
          <w:sz w:val="24"/>
          <w:szCs w:val="24"/>
        </w:rPr>
        <w:t xml:space="preserve"> and,</w:t>
      </w:r>
    </w:p>
    <w:p w14:paraId="15E2BF36" w14:textId="233948C6" w:rsidR="009F0E6F" w:rsidRPr="0094020F" w:rsidRDefault="00EB4D2D" w:rsidP="008D589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he </w:t>
      </w:r>
      <w:r w:rsidR="00474F94">
        <w:rPr>
          <w:rFonts w:ascii="Calibri" w:eastAsia="Calibri" w:hAnsi="Calibri" w:cs="Calibri"/>
          <w:sz w:val="24"/>
          <w:szCs w:val="24"/>
        </w:rPr>
        <w:t>information gathered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 will be used</w:t>
      </w:r>
      <w:r w:rsidR="000E2992">
        <w:rPr>
          <w:rFonts w:ascii="Calibri" w:eastAsia="Calibri" w:hAnsi="Calibri" w:cs="Calibri"/>
          <w:sz w:val="24"/>
          <w:szCs w:val="24"/>
        </w:rPr>
        <w:t xml:space="preserve"> by the NSTA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 to benchmark efficiencies in project delivery</w:t>
      </w:r>
      <w:r w:rsidR="00474F94">
        <w:rPr>
          <w:rFonts w:ascii="Calibri" w:eastAsia="Calibri" w:hAnsi="Calibri" w:cs="Calibri"/>
          <w:sz w:val="24"/>
          <w:szCs w:val="24"/>
        </w:rPr>
        <w:t>,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 highlighting best in class</w:t>
      </w:r>
      <w:r w:rsidR="00474F94">
        <w:rPr>
          <w:rFonts w:ascii="Calibri" w:eastAsia="Calibri" w:hAnsi="Calibri" w:cs="Calibri"/>
          <w:sz w:val="24"/>
          <w:szCs w:val="24"/>
        </w:rPr>
        <w:t>.</w:t>
      </w:r>
      <w:r w:rsidR="58379986" w:rsidRPr="0094020F">
        <w:rPr>
          <w:rFonts w:ascii="Calibri" w:eastAsia="Calibri" w:hAnsi="Calibri" w:cs="Calibri"/>
          <w:sz w:val="24"/>
          <w:szCs w:val="24"/>
        </w:rPr>
        <w:t xml:space="preserve">    </w:t>
      </w:r>
    </w:p>
    <w:p w14:paraId="6514C822" w14:textId="77777777" w:rsidR="002C24A0" w:rsidRDefault="00724262" w:rsidP="003D4027">
      <w:pPr>
        <w:rPr>
          <w:b/>
          <w:bCs/>
          <w:sz w:val="28"/>
          <w:szCs w:val="28"/>
        </w:rPr>
      </w:pPr>
      <w:r w:rsidRPr="00603A2B">
        <w:rPr>
          <w:b/>
          <w:bCs/>
          <w:sz w:val="28"/>
          <w:szCs w:val="28"/>
        </w:rPr>
        <w:t xml:space="preserve">Local content </w:t>
      </w:r>
      <w:r w:rsidR="002C24A0">
        <w:rPr>
          <w:b/>
          <w:bCs/>
          <w:sz w:val="28"/>
          <w:szCs w:val="28"/>
        </w:rPr>
        <w:t xml:space="preserve">Definition </w:t>
      </w:r>
    </w:p>
    <w:p w14:paraId="5F4EF826" w14:textId="377791AD" w:rsidR="00372048" w:rsidRDefault="7F48CC20" w:rsidP="10A4654A">
      <w:pPr>
        <w:rPr>
          <w:sz w:val="24"/>
          <w:szCs w:val="24"/>
        </w:rPr>
      </w:pPr>
      <w:r w:rsidRPr="10A4654A">
        <w:rPr>
          <w:sz w:val="24"/>
          <w:szCs w:val="24"/>
        </w:rPr>
        <w:t>For the purpose</w:t>
      </w:r>
      <w:r w:rsidR="009731E3">
        <w:rPr>
          <w:sz w:val="24"/>
          <w:szCs w:val="24"/>
        </w:rPr>
        <w:t>s</w:t>
      </w:r>
      <w:r w:rsidRPr="10A4654A">
        <w:rPr>
          <w:sz w:val="24"/>
          <w:szCs w:val="24"/>
        </w:rPr>
        <w:t xml:space="preserve"> of</w:t>
      </w:r>
      <w:r w:rsidR="001D35BC">
        <w:rPr>
          <w:sz w:val="24"/>
          <w:szCs w:val="24"/>
        </w:rPr>
        <w:t xml:space="preserve"> tracking</w:t>
      </w:r>
      <w:r w:rsidRPr="10A4654A">
        <w:rPr>
          <w:sz w:val="24"/>
          <w:szCs w:val="24"/>
        </w:rPr>
        <w:t xml:space="preserve"> </w:t>
      </w:r>
      <w:r w:rsidR="00142817">
        <w:rPr>
          <w:sz w:val="24"/>
          <w:szCs w:val="24"/>
        </w:rPr>
        <w:t xml:space="preserve">the stated </w:t>
      </w:r>
      <w:r w:rsidRPr="10A4654A">
        <w:rPr>
          <w:sz w:val="24"/>
          <w:szCs w:val="24"/>
        </w:rPr>
        <w:t>NSTD</w:t>
      </w:r>
      <w:r w:rsidR="001D35BC">
        <w:rPr>
          <w:sz w:val="24"/>
          <w:szCs w:val="24"/>
        </w:rPr>
        <w:t xml:space="preserve"> commitments</w:t>
      </w:r>
      <w:r w:rsidR="44C614A8" w:rsidRPr="10A4654A">
        <w:rPr>
          <w:sz w:val="24"/>
          <w:szCs w:val="24"/>
        </w:rPr>
        <w:t>,</w:t>
      </w:r>
      <w:r w:rsidR="00142817">
        <w:rPr>
          <w:sz w:val="24"/>
          <w:szCs w:val="24"/>
        </w:rPr>
        <w:t xml:space="preserve"> </w:t>
      </w:r>
      <w:r w:rsidR="00142817" w:rsidRPr="00571F43">
        <w:rPr>
          <w:sz w:val="24"/>
          <w:szCs w:val="24"/>
        </w:rPr>
        <w:t xml:space="preserve">the NSTA </w:t>
      </w:r>
      <w:r w:rsidR="00AF0DBD">
        <w:rPr>
          <w:sz w:val="24"/>
          <w:szCs w:val="24"/>
        </w:rPr>
        <w:t xml:space="preserve">will generally </w:t>
      </w:r>
      <w:r w:rsidR="002E6464">
        <w:rPr>
          <w:sz w:val="24"/>
          <w:szCs w:val="24"/>
        </w:rPr>
        <w:t>use</w:t>
      </w:r>
      <w:r w:rsidR="00142817" w:rsidRPr="00571F43">
        <w:rPr>
          <w:sz w:val="24"/>
          <w:szCs w:val="24"/>
        </w:rPr>
        <w:t xml:space="preserve"> the following definition of</w:t>
      </w:r>
      <w:r w:rsidR="44C614A8" w:rsidRPr="10A4654A">
        <w:rPr>
          <w:sz w:val="24"/>
          <w:szCs w:val="24"/>
        </w:rPr>
        <w:t xml:space="preserve"> </w:t>
      </w:r>
      <w:r w:rsidR="00EB4D2D">
        <w:rPr>
          <w:sz w:val="24"/>
          <w:szCs w:val="24"/>
        </w:rPr>
        <w:t xml:space="preserve">‘UK </w:t>
      </w:r>
      <w:r w:rsidR="44C614A8" w:rsidRPr="10A4654A">
        <w:rPr>
          <w:sz w:val="24"/>
          <w:szCs w:val="24"/>
        </w:rPr>
        <w:t>local content</w:t>
      </w:r>
      <w:r w:rsidR="00EB4D2D">
        <w:rPr>
          <w:sz w:val="24"/>
          <w:szCs w:val="24"/>
        </w:rPr>
        <w:t>’</w:t>
      </w:r>
      <w:r w:rsidR="00474F94">
        <w:rPr>
          <w:sz w:val="24"/>
          <w:szCs w:val="24"/>
        </w:rPr>
        <w:t>:</w:t>
      </w:r>
    </w:p>
    <w:p w14:paraId="19232673" w14:textId="3CBEDA89" w:rsidR="001A0948" w:rsidRPr="00100E26" w:rsidRDefault="004841F1" w:rsidP="001D35BC">
      <w:pPr>
        <w:pStyle w:val="ListParagraph"/>
        <w:numPr>
          <w:ilvl w:val="0"/>
          <w:numId w:val="1"/>
        </w:numPr>
        <w:rPr>
          <w:rStyle w:val="normaltextrun"/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re</w:t>
      </w:r>
      <w:r w:rsidR="005970FA">
        <w:rPr>
          <w:rFonts w:cstheme="minorHAnsi"/>
          <w:sz w:val="24"/>
          <w:szCs w:val="24"/>
        </w:rPr>
        <w:t xml:space="preserve">spect </w:t>
      </w:r>
      <w:r w:rsidR="00DA4B4D">
        <w:rPr>
          <w:rFonts w:cstheme="minorHAnsi"/>
          <w:sz w:val="24"/>
          <w:szCs w:val="24"/>
        </w:rPr>
        <w:t xml:space="preserve">of services, those services </w:t>
      </w:r>
      <w:r w:rsidR="00F86383" w:rsidRPr="00EB4D2D">
        <w:rPr>
          <w:rStyle w:val="normaltextrun"/>
          <w:rFonts w:eastAsia="Times New Roman" w:cstheme="minorHAnsi"/>
          <w:sz w:val="24"/>
          <w:szCs w:val="24"/>
        </w:rPr>
        <w:t>provided by a company carrying on business in the UK</w:t>
      </w:r>
      <w:r w:rsidR="001A0948">
        <w:rPr>
          <w:rStyle w:val="normaltextrun"/>
          <w:rFonts w:eastAsia="Times New Roman" w:cstheme="minorHAnsi"/>
          <w:sz w:val="24"/>
          <w:szCs w:val="24"/>
        </w:rPr>
        <w:t>;</w:t>
      </w:r>
      <w:r w:rsidR="00AF0DBD">
        <w:rPr>
          <w:rStyle w:val="normaltextrun"/>
          <w:rFonts w:eastAsia="Times New Roman" w:cstheme="minorHAnsi"/>
          <w:sz w:val="24"/>
          <w:szCs w:val="24"/>
        </w:rPr>
        <w:t xml:space="preserve"> and,</w:t>
      </w:r>
    </w:p>
    <w:p w14:paraId="402E3302" w14:textId="06066064" w:rsidR="007F545F" w:rsidRDefault="007F545F" w:rsidP="67020A5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67020A5B">
        <w:rPr>
          <w:rStyle w:val="normaltextrun"/>
          <w:rFonts w:eastAsia="Times New Roman"/>
          <w:sz w:val="24"/>
          <w:szCs w:val="24"/>
        </w:rPr>
        <w:lastRenderedPageBreak/>
        <w:t xml:space="preserve">in </w:t>
      </w:r>
      <w:r w:rsidR="001A0948" w:rsidRPr="67020A5B">
        <w:rPr>
          <w:rStyle w:val="normaltextrun"/>
          <w:rFonts w:eastAsia="Times New Roman"/>
          <w:sz w:val="24"/>
          <w:szCs w:val="24"/>
        </w:rPr>
        <w:t>respect</w:t>
      </w:r>
      <w:r w:rsidRPr="67020A5B">
        <w:rPr>
          <w:rStyle w:val="normaltextrun"/>
          <w:rFonts w:eastAsia="Times New Roman"/>
          <w:sz w:val="24"/>
          <w:szCs w:val="24"/>
        </w:rPr>
        <w:t xml:space="preserve"> of goods, </w:t>
      </w:r>
      <w:r w:rsidR="00DC1093" w:rsidRPr="67020A5B">
        <w:rPr>
          <w:rStyle w:val="normaltextrun"/>
          <w:rFonts w:eastAsia="Times New Roman"/>
          <w:sz w:val="24"/>
          <w:szCs w:val="24"/>
        </w:rPr>
        <w:t xml:space="preserve">those </w:t>
      </w:r>
      <w:r w:rsidR="008E6DF1" w:rsidRPr="67020A5B">
        <w:rPr>
          <w:rStyle w:val="normaltextrun"/>
          <w:rFonts w:eastAsia="Times New Roman"/>
          <w:sz w:val="24"/>
          <w:szCs w:val="24"/>
        </w:rPr>
        <w:t xml:space="preserve">goods </w:t>
      </w:r>
      <w:r w:rsidR="00DC1093" w:rsidRPr="67020A5B">
        <w:rPr>
          <w:rStyle w:val="normaltextrun"/>
          <w:rFonts w:eastAsia="Times New Roman"/>
          <w:sz w:val="24"/>
          <w:szCs w:val="24"/>
        </w:rPr>
        <w:t xml:space="preserve">which </w:t>
      </w:r>
      <w:r w:rsidR="0059764A" w:rsidRPr="67020A5B">
        <w:rPr>
          <w:rStyle w:val="normaltextrun"/>
          <w:rFonts w:eastAsia="Times New Roman"/>
          <w:sz w:val="24"/>
          <w:szCs w:val="24"/>
        </w:rPr>
        <w:t>are being</w:t>
      </w:r>
      <w:r w:rsidR="00DC1093" w:rsidRPr="67020A5B">
        <w:rPr>
          <w:rStyle w:val="normaltextrun"/>
          <w:rFonts w:eastAsia="Times New Roman"/>
          <w:sz w:val="24"/>
          <w:szCs w:val="24"/>
        </w:rPr>
        <w:t xml:space="preserve"> made, </w:t>
      </w:r>
      <w:proofErr w:type="gramStart"/>
      <w:r w:rsidR="00DC1093" w:rsidRPr="67020A5B">
        <w:rPr>
          <w:rStyle w:val="normaltextrun"/>
          <w:rFonts w:eastAsia="Times New Roman"/>
          <w:sz w:val="24"/>
          <w:szCs w:val="24"/>
        </w:rPr>
        <w:t>changed</w:t>
      </w:r>
      <w:proofErr w:type="gramEnd"/>
      <w:r w:rsidR="00DC1093" w:rsidRPr="67020A5B">
        <w:rPr>
          <w:rStyle w:val="normaltextrun"/>
          <w:rFonts w:eastAsia="Times New Roman"/>
          <w:sz w:val="24"/>
          <w:szCs w:val="24"/>
        </w:rPr>
        <w:t xml:space="preserve"> or improved in the UK (using the same definition as goods eligible for a UK country of origin certificate)</w:t>
      </w:r>
      <w:r w:rsidRPr="67020A5B">
        <w:rPr>
          <w:rStyle w:val="FootnoteReference"/>
          <w:sz w:val="24"/>
          <w:szCs w:val="24"/>
        </w:rPr>
        <w:footnoteReference w:id="4"/>
      </w:r>
      <w:r w:rsidR="007A4DC9" w:rsidRPr="67020A5B">
        <w:rPr>
          <w:sz w:val="24"/>
          <w:szCs w:val="24"/>
        </w:rPr>
        <w:t>.</w:t>
      </w:r>
    </w:p>
    <w:p w14:paraId="52F261C2" w14:textId="317ABEBA" w:rsidR="001D35BC" w:rsidRDefault="001D35BC" w:rsidP="001D35BC">
      <w:pPr>
        <w:pStyle w:val="ListParagraph"/>
        <w:ind w:left="0"/>
        <w:rPr>
          <w:rFonts w:eastAsiaTheme="minorEastAsia"/>
          <w:sz w:val="24"/>
          <w:szCs w:val="24"/>
        </w:rPr>
      </w:pPr>
    </w:p>
    <w:p w14:paraId="4CF3A81B" w14:textId="5FCA046B" w:rsidR="001D35BC" w:rsidRDefault="001D35BC" w:rsidP="009731E3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For the purpose</w:t>
      </w:r>
      <w:r w:rsidR="009731E3">
        <w:rPr>
          <w:rFonts w:eastAsiaTheme="minorEastAsia"/>
          <w:sz w:val="24"/>
          <w:szCs w:val="24"/>
        </w:rPr>
        <w:t>s</w:t>
      </w:r>
      <w:r>
        <w:rPr>
          <w:rFonts w:eastAsiaTheme="minorEastAsia"/>
          <w:sz w:val="24"/>
          <w:szCs w:val="24"/>
        </w:rPr>
        <w:t xml:space="preserve"> of </w:t>
      </w:r>
      <w:r w:rsidR="00A179F4">
        <w:rPr>
          <w:rFonts w:eastAsiaTheme="minorEastAsia"/>
          <w:sz w:val="24"/>
          <w:szCs w:val="24"/>
        </w:rPr>
        <w:t xml:space="preserve">recording </w:t>
      </w:r>
      <w:r>
        <w:rPr>
          <w:rFonts w:eastAsiaTheme="minorEastAsia"/>
          <w:sz w:val="24"/>
          <w:szCs w:val="24"/>
        </w:rPr>
        <w:t xml:space="preserve">NSTD commitments, </w:t>
      </w:r>
      <w:r w:rsidR="001F7722">
        <w:rPr>
          <w:rFonts w:eastAsiaTheme="minorEastAsia"/>
          <w:sz w:val="24"/>
          <w:szCs w:val="24"/>
        </w:rPr>
        <w:t>the following</w:t>
      </w:r>
      <w:r w:rsidR="0055648B">
        <w:rPr>
          <w:rFonts w:eastAsiaTheme="minorEastAsia"/>
          <w:sz w:val="24"/>
          <w:szCs w:val="24"/>
        </w:rPr>
        <w:t xml:space="preserve"> information</w:t>
      </w:r>
      <w:r w:rsidR="00EB3174">
        <w:rPr>
          <w:rFonts w:eastAsiaTheme="minorEastAsia"/>
          <w:sz w:val="24"/>
          <w:szCs w:val="24"/>
        </w:rPr>
        <w:t xml:space="preserve"> should be included</w:t>
      </w:r>
      <w:r w:rsidR="005331CF">
        <w:rPr>
          <w:rFonts w:eastAsiaTheme="minorEastAsia"/>
          <w:sz w:val="24"/>
          <w:szCs w:val="24"/>
        </w:rPr>
        <w:t xml:space="preserve"> in the relevant SCAP</w:t>
      </w:r>
      <w:r w:rsidR="001F7722">
        <w:rPr>
          <w:rFonts w:eastAsiaTheme="minorEastAsia"/>
          <w:sz w:val="24"/>
          <w:szCs w:val="24"/>
        </w:rPr>
        <w:t>:</w:t>
      </w:r>
    </w:p>
    <w:p w14:paraId="261E1961" w14:textId="153B989E" w:rsidR="001D35BC" w:rsidRDefault="001D35BC" w:rsidP="001D35BC">
      <w:pPr>
        <w:pStyle w:val="ListParagraph"/>
        <w:rPr>
          <w:rFonts w:eastAsiaTheme="minorEastAsia"/>
          <w:sz w:val="24"/>
          <w:szCs w:val="24"/>
        </w:rPr>
      </w:pPr>
    </w:p>
    <w:p w14:paraId="2A5A9D73" w14:textId="5375C6F1" w:rsidR="001D35BC" w:rsidRDefault="004D0CE9" w:rsidP="67020A5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Details on a</w:t>
      </w:r>
      <w:r w:rsidR="001D35BC" w:rsidRPr="67020A5B">
        <w:rPr>
          <w:rFonts w:eastAsiaTheme="minorEastAsia"/>
          <w:sz w:val="24"/>
          <w:szCs w:val="24"/>
        </w:rPr>
        <w:t>ll contracts</w:t>
      </w:r>
      <w:r w:rsidR="000A4949" w:rsidRPr="67020A5B">
        <w:rPr>
          <w:rFonts w:eastAsiaTheme="minorEastAsia"/>
          <w:sz w:val="24"/>
          <w:szCs w:val="24"/>
        </w:rPr>
        <w:t xml:space="preserve"> </w:t>
      </w:r>
      <w:r w:rsidR="00B3017E" w:rsidRPr="67020A5B">
        <w:rPr>
          <w:rFonts w:eastAsiaTheme="minorEastAsia"/>
          <w:sz w:val="24"/>
          <w:szCs w:val="24"/>
        </w:rPr>
        <w:t xml:space="preserve">for </w:t>
      </w:r>
      <w:r w:rsidR="000A4949" w:rsidRPr="67020A5B">
        <w:rPr>
          <w:rFonts w:eastAsiaTheme="minorEastAsia"/>
          <w:sz w:val="24"/>
          <w:szCs w:val="24"/>
        </w:rPr>
        <w:t>goods and services</w:t>
      </w:r>
      <w:r w:rsidR="00224606" w:rsidRPr="67020A5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placed by the operator to</w:t>
      </w:r>
      <w:r w:rsidR="001D35BC" w:rsidRPr="67020A5B">
        <w:rPr>
          <w:rFonts w:eastAsiaTheme="minorEastAsia"/>
          <w:sz w:val="24"/>
          <w:szCs w:val="24"/>
        </w:rPr>
        <w:t xml:space="preserve"> be summarised in a SCAP</w:t>
      </w:r>
      <w:r w:rsidR="00AA48C9" w:rsidRPr="67020A5B">
        <w:rPr>
          <w:rFonts w:eastAsiaTheme="minorEastAsia"/>
          <w:sz w:val="24"/>
          <w:szCs w:val="24"/>
        </w:rPr>
        <w:t>. Information to be provided</w:t>
      </w:r>
      <w:r w:rsidR="001D35BC" w:rsidRPr="67020A5B">
        <w:rPr>
          <w:rFonts w:eastAsiaTheme="minorEastAsia"/>
          <w:sz w:val="24"/>
          <w:szCs w:val="24"/>
        </w:rPr>
        <w:t xml:space="preserve"> </w:t>
      </w:r>
      <w:r w:rsidR="00AA48C9" w:rsidRPr="67020A5B">
        <w:rPr>
          <w:rFonts w:eastAsiaTheme="minorEastAsia"/>
          <w:sz w:val="24"/>
          <w:szCs w:val="24"/>
        </w:rPr>
        <w:t xml:space="preserve">includes </w:t>
      </w:r>
      <w:r w:rsidR="001D35BC" w:rsidRPr="67020A5B">
        <w:rPr>
          <w:rFonts w:eastAsiaTheme="minorEastAsia"/>
          <w:sz w:val="24"/>
          <w:szCs w:val="24"/>
        </w:rPr>
        <w:t xml:space="preserve">the </w:t>
      </w:r>
      <w:r w:rsidR="00AA48C9" w:rsidRPr="67020A5B">
        <w:rPr>
          <w:rFonts w:eastAsiaTheme="minorEastAsia"/>
          <w:sz w:val="24"/>
          <w:szCs w:val="24"/>
        </w:rPr>
        <w:t xml:space="preserve">relevant </w:t>
      </w:r>
      <w:r w:rsidR="001D35BC" w:rsidRPr="67020A5B">
        <w:rPr>
          <w:rFonts w:eastAsiaTheme="minorEastAsia"/>
          <w:sz w:val="24"/>
          <w:szCs w:val="24"/>
        </w:rPr>
        <w:t xml:space="preserve">contracting strategy, the percentage of </w:t>
      </w:r>
      <w:r w:rsidR="00FC4932" w:rsidRPr="67020A5B">
        <w:rPr>
          <w:rFonts w:eastAsiaTheme="minorEastAsia"/>
          <w:sz w:val="24"/>
          <w:szCs w:val="24"/>
        </w:rPr>
        <w:t xml:space="preserve">the overall </w:t>
      </w:r>
      <w:r w:rsidR="00440FD0" w:rsidRPr="67020A5B">
        <w:rPr>
          <w:rFonts w:eastAsiaTheme="minorEastAsia"/>
          <w:sz w:val="24"/>
          <w:szCs w:val="24"/>
        </w:rPr>
        <w:t>contract</w:t>
      </w:r>
      <w:r w:rsidR="002D22EF" w:rsidRPr="67020A5B">
        <w:rPr>
          <w:rFonts w:eastAsiaTheme="minorEastAsia"/>
          <w:sz w:val="24"/>
          <w:szCs w:val="24"/>
        </w:rPr>
        <w:t xml:space="preserve"> price</w:t>
      </w:r>
      <w:r w:rsidR="00440FD0" w:rsidRPr="67020A5B">
        <w:rPr>
          <w:rFonts w:eastAsiaTheme="minorEastAsia"/>
          <w:sz w:val="24"/>
          <w:szCs w:val="24"/>
        </w:rPr>
        <w:t xml:space="preserve"> </w:t>
      </w:r>
      <w:r w:rsidR="0059764A" w:rsidRPr="67020A5B">
        <w:rPr>
          <w:rFonts w:eastAsiaTheme="minorEastAsia"/>
          <w:sz w:val="24"/>
          <w:szCs w:val="24"/>
        </w:rPr>
        <w:t>and an</w:t>
      </w:r>
      <w:r w:rsidR="00C12A90" w:rsidRPr="67020A5B">
        <w:rPr>
          <w:rFonts w:eastAsiaTheme="minorEastAsia"/>
          <w:sz w:val="24"/>
          <w:szCs w:val="24"/>
        </w:rPr>
        <w:t xml:space="preserve"> estimate of </w:t>
      </w:r>
      <w:r w:rsidR="002D08DD" w:rsidRPr="67020A5B">
        <w:rPr>
          <w:rFonts w:eastAsiaTheme="minorEastAsia"/>
          <w:sz w:val="24"/>
          <w:szCs w:val="24"/>
        </w:rPr>
        <w:t xml:space="preserve">how </w:t>
      </w:r>
      <w:r w:rsidR="00621323" w:rsidRPr="67020A5B">
        <w:rPr>
          <w:rFonts w:eastAsiaTheme="minorEastAsia"/>
          <w:sz w:val="24"/>
          <w:szCs w:val="24"/>
        </w:rPr>
        <w:t xml:space="preserve">many </w:t>
      </w:r>
      <w:r w:rsidR="005821F2" w:rsidRPr="67020A5B">
        <w:rPr>
          <w:rFonts w:eastAsiaTheme="minorEastAsia"/>
          <w:sz w:val="24"/>
          <w:szCs w:val="24"/>
        </w:rPr>
        <w:t xml:space="preserve">UK </w:t>
      </w:r>
      <w:r w:rsidR="00621323" w:rsidRPr="67020A5B">
        <w:rPr>
          <w:rFonts w:eastAsiaTheme="minorEastAsia"/>
          <w:sz w:val="24"/>
          <w:szCs w:val="24"/>
        </w:rPr>
        <w:t>jobs</w:t>
      </w:r>
      <w:r w:rsidR="001D35BC" w:rsidRPr="67020A5B">
        <w:rPr>
          <w:rFonts w:eastAsiaTheme="minorEastAsia"/>
          <w:sz w:val="24"/>
          <w:szCs w:val="24"/>
        </w:rPr>
        <w:t xml:space="preserve"> </w:t>
      </w:r>
      <w:r w:rsidR="005821F2" w:rsidRPr="67020A5B">
        <w:rPr>
          <w:rFonts w:eastAsiaTheme="minorEastAsia"/>
          <w:sz w:val="24"/>
          <w:szCs w:val="24"/>
        </w:rPr>
        <w:t xml:space="preserve">will </w:t>
      </w:r>
      <w:r w:rsidR="00172FBD" w:rsidRPr="67020A5B">
        <w:rPr>
          <w:rFonts w:eastAsiaTheme="minorEastAsia"/>
          <w:sz w:val="24"/>
          <w:szCs w:val="24"/>
        </w:rPr>
        <w:t xml:space="preserve">support </w:t>
      </w:r>
      <w:r w:rsidR="005821F2" w:rsidRPr="67020A5B">
        <w:rPr>
          <w:rFonts w:eastAsiaTheme="minorEastAsia"/>
          <w:sz w:val="24"/>
          <w:szCs w:val="24"/>
        </w:rPr>
        <w:t>the relevant</w:t>
      </w:r>
      <w:r w:rsidR="00172FBD" w:rsidRPr="67020A5B">
        <w:rPr>
          <w:rFonts w:eastAsiaTheme="minorEastAsia"/>
          <w:sz w:val="24"/>
          <w:szCs w:val="24"/>
        </w:rPr>
        <w:t xml:space="preserve"> contract</w:t>
      </w:r>
      <w:r w:rsidR="00146FB8" w:rsidRPr="67020A5B">
        <w:rPr>
          <w:rFonts w:eastAsiaTheme="minorEastAsia"/>
          <w:sz w:val="24"/>
          <w:szCs w:val="24"/>
        </w:rPr>
        <w:t>.</w:t>
      </w:r>
    </w:p>
    <w:p w14:paraId="75BA02B9" w14:textId="492B0605" w:rsidR="001D35BC" w:rsidRPr="00E51A18" w:rsidRDefault="003570FA" w:rsidP="001D35B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</w:t>
      </w:r>
      <w:r w:rsidR="001D35BC">
        <w:rPr>
          <w:rFonts w:eastAsiaTheme="minorEastAsia"/>
          <w:sz w:val="24"/>
          <w:szCs w:val="24"/>
        </w:rPr>
        <w:t xml:space="preserve">ll </w:t>
      </w:r>
      <w:r w:rsidR="000C26B0">
        <w:rPr>
          <w:rFonts w:eastAsiaTheme="minorEastAsia"/>
          <w:sz w:val="24"/>
          <w:szCs w:val="24"/>
        </w:rPr>
        <w:t>sub</w:t>
      </w:r>
      <w:r w:rsidR="001F3BE3">
        <w:rPr>
          <w:rFonts w:eastAsiaTheme="minorEastAsia"/>
          <w:sz w:val="24"/>
          <w:szCs w:val="24"/>
        </w:rPr>
        <w:t>co</w:t>
      </w:r>
      <w:r w:rsidR="003F5139">
        <w:rPr>
          <w:rFonts w:eastAsiaTheme="minorEastAsia"/>
          <w:sz w:val="24"/>
          <w:szCs w:val="24"/>
        </w:rPr>
        <w:t>ntract</w:t>
      </w:r>
      <w:r w:rsidR="0066635E">
        <w:rPr>
          <w:rFonts w:eastAsiaTheme="minorEastAsia"/>
          <w:sz w:val="24"/>
          <w:szCs w:val="24"/>
        </w:rPr>
        <w:t xml:space="preserve">s for </w:t>
      </w:r>
      <w:r w:rsidR="002E4B3B">
        <w:rPr>
          <w:rFonts w:eastAsiaTheme="minorEastAsia"/>
          <w:sz w:val="24"/>
          <w:szCs w:val="24"/>
        </w:rPr>
        <w:t>goods and services with a value of £25 million or more</w:t>
      </w:r>
      <w:r w:rsidR="001D35BC">
        <w:rPr>
          <w:rFonts w:eastAsiaTheme="minorEastAsia"/>
          <w:sz w:val="24"/>
          <w:szCs w:val="24"/>
        </w:rPr>
        <w:t xml:space="preserve"> placed </w:t>
      </w:r>
      <w:r w:rsidR="001D35BC" w:rsidRPr="00100E26">
        <w:rPr>
          <w:rFonts w:eastAsiaTheme="minorEastAsia"/>
          <w:sz w:val="24"/>
          <w:szCs w:val="24"/>
        </w:rPr>
        <w:t>by</w:t>
      </w:r>
      <w:r w:rsidR="00C4167A" w:rsidRPr="00100E26">
        <w:rPr>
          <w:rFonts w:eastAsiaTheme="minorEastAsia"/>
          <w:sz w:val="24"/>
          <w:szCs w:val="24"/>
        </w:rPr>
        <w:t xml:space="preserve"> </w:t>
      </w:r>
      <w:r w:rsidR="001D35BC">
        <w:rPr>
          <w:rFonts w:eastAsiaTheme="minorEastAsia"/>
          <w:sz w:val="24"/>
          <w:szCs w:val="24"/>
        </w:rPr>
        <w:t>supply companies</w:t>
      </w:r>
      <w:r w:rsidR="002D56E1">
        <w:rPr>
          <w:rFonts w:eastAsiaTheme="minorEastAsia"/>
          <w:sz w:val="24"/>
          <w:szCs w:val="24"/>
        </w:rPr>
        <w:t xml:space="preserve"> in support of </w:t>
      </w:r>
      <w:r w:rsidR="008B31D8">
        <w:rPr>
          <w:rFonts w:eastAsiaTheme="minorEastAsia"/>
          <w:sz w:val="24"/>
          <w:szCs w:val="24"/>
        </w:rPr>
        <w:t>contracts awarded to them by the</w:t>
      </w:r>
      <w:r w:rsidR="006C5392">
        <w:rPr>
          <w:rFonts w:eastAsiaTheme="minorEastAsia"/>
          <w:sz w:val="24"/>
          <w:szCs w:val="24"/>
        </w:rPr>
        <w:t xml:space="preserve"> relevant operator</w:t>
      </w:r>
      <w:r w:rsidR="00327D14">
        <w:rPr>
          <w:rFonts w:eastAsiaTheme="minorEastAsia"/>
          <w:sz w:val="24"/>
          <w:szCs w:val="24"/>
        </w:rPr>
        <w:t>.</w:t>
      </w:r>
      <w:r w:rsidR="001D35BC">
        <w:rPr>
          <w:rFonts w:eastAsiaTheme="minorEastAsia"/>
          <w:sz w:val="24"/>
          <w:szCs w:val="24"/>
        </w:rPr>
        <w:t xml:space="preserve"> </w:t>
      </w:r>
      <w:r w:rsidR="009A3137" w:rsidRPr="00E51A18">
        <w:rPr>
          <w:rFonts w:eastAsiaTheme="minorEastAsia"/>
          <w:sz w:val="24"/>
          <w:szCs w:val="24"/>
        </w:rPr>
        <w:t xml:space="preserve">Information to be provided </w:t>
      </w:r>
      <w:r w:rsidR="001D35BC" w:rsidRPr="00E51A18">
        <w:rPr>
          <w:rFonts w:eastAsiaTheme="minorEastAsia"/>
          <w:sz w:val="24"/>
          <w:szCs w:val="24"/>
        </w:rPr>
        <w:t>includ</w:t>
      </w:r>
      <w:r w:rsidR="009A3137" w:rsidRPr="00E51A18">
        <w:rPr>
          <w:rFonts w:eastAsiaTheme="minorEastAsia"/>
          <w:sz w:val="24"/>
          <w:szCs w:val="24"/>
        </w:rPr>
        <w:t xml:space="preserve">es the percentage of the overall contract price and an estimate of how many </w:t>
      </w:r>
      <w:r w:rsidR="005821F2" w:rsidRPr="00E51A18">
        <w:rPr>
          <w:rFonts w:eastAsiaTheme="minorEastAsia"/>
          <w:sz w:val="24"/>
          <w:szCs w:val="24"/>
        </w:rPr>
        <w:t xml:space="preserve">UK </w:t>
      </w:r>
      <w:r w:rsidR="009A3137" w:rsidRPr="00E51A18">
        <w:rPr>
          <w:rFonts w:eastAsiaTheme="minorEastAsia"/>
          <w:sz w:val="24"/>
          <w:szCs w:val="24"/>
        </w:rPr>
        <w:t xml:space="preserve">jobs </w:t>
      </w:r>
      <w:r w:rsidR="005821F2" w:rsidRPr="00E51A18">
        <w:rPr>
          <w:rFonts w:eastAsiaTheme="minorEastAsia"/>
          <w:sz w:val="24"/>
          <w:szCs w:val="24"/>
        </w:rPr>
        <w:t xml:space="preserve">will </w:t>
      </w:r>
      <w:r w:rsidR="009A3137" w:rsidRPr="00E51A18">
        <w:rPr>
          <w:rFonts w:eastAsiaTheme="minorEastAsia"/>
          <w:sz w:val="24"/>
          <w:szCs w:val="24"/>
        </w:rPr>
        <w:t>support</w:t>
      </w:r>
      <w:r w:rsidR="005821F2" w:rsidRPr="00E51A18">
        <w:rPr>
          <w:rFonts w:eastAsiaTheme="minorEastAsia"/>
          <w:sz w:val="24"/>
          <w:szCs w:val="24"/>
        </w:rPr>
        <w:t xml:space="preserve"> the relevant contract</w:t>
      </w:r>
      <w:r w:rsidR="006120C2" w:rsidRPr="00E51A18">
        <w:rPr>
          <w:rFonts w:eastAsiaTheme="minorEastAsia"/>
          <w:sz w:val="24"/>
          <w:szCs w:val="24"/>
        </w:rPr>
        <w:t>.</w:t>
      </w:r>
    </w:p>
    <w:p w14:paraId="0D01FCB9" w14:textId="77777777" w:rsidR="00276998" w:rsidRPr="00E51A18" w:rsidRDefault="008F0B77" w:rsidP="00276998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E51A18">
        <w:rPr>
          <w:sz w:val="24"/>
          <w:szCs w:val="24"/>
        </w:rPr>
        <w:t>T</w:t>
      </w:r>
      <w:r w:rsidR="00C97188" w:rsidRPr="00E51A18">
        <w:rPr>
          <w:sz w:val="24"/>
          <w:szCs w:val="24"/>
        </w:rPr>
        <w:t>he overall UK contribution to an energy transition project</w:t>
      </w:r>
      <w:r w:rsidR="009A2262" w:rsidRPr="00E51A18">
        <w:rPr>
          <w:sz w:val="24"/>
          <w:szCs w:val="24"/>
        </w:rPr>
        <w:t xml:space="preserve"> (e.g. </w:t>
      </w:r>
      <w:r w:rsidR="009A2262" w:rsidRPr="00E93925">
        <w:rPr>
          <w:sz w:val="24"/>
          <w:szCs w:val="24"/>
        </w:rPr>
        <w:t>GHG reduction, CCS, Electrification, Hydrogen</w:t>
      </w:r>
      <w:r w:rsidR="00123861" w:rsidRPr="00E93925">
        <w:rPr>
          <w:sz w:val="24"/>
          <w:szCs w:val="24"/>
        </w:rPr>
        <w:t xml:space="preserve"> production</w:t>
      </w:r>
      <w:r w:rsidR="00E0269B" w:rsidRPr="00E93925">
        <w:rPr>
          <w:sz w:val="24"/>
          <w:szCs w:val="24"/>
        </w:rPr>
        <w:t xml:space="preserve"> etc</w:t>
      </w:r>
      <w:r w:rsidR="009A2262" w:rsidRPr="00E93925">
        <w:rPr>
          <w:sz w:val="24"/>
          <w:szCs w:val="24"/>
        </w:rPr>
        <w:t>)</w:t>
      </w:r>
      <w:r w:rsidR="00C97188" w:rsidRPr="00E51A18">
        <w:rPr>
          <w:sz w:val="24"/>
          <w:szCs w:val="24"/>
        </w:rPr>
        <w:t xml:space="preserve">, </w:t>
      </w:r>
      <w:r w:rsidR="00792BD6" w:rsidRPr="00E51A18">
        <w:rPr>
          <w:sz w:val="24"/>
          <w:szCs w:val="24"/>
        </w:rPr>
        <w:t xml:space="preserve">will be assessed </w:t>
      </w:r>
      <w:r w:rsidR="00A335DC" w:rsidRPr="00E51A18">
        <w:rPr>
          <w:sz w:val="24"/>
          <w:szCs w:val="24"/>
        </w:rPr>
        <w:t>by considering all contract / subcontracts which fall into the categories mentioned above</w:t>
      </w:r>
      <w:r w:rsidR="00C97188" w:rsidRPr="00E51A18">
        <w:rPr>
          <w:sz w:val="24"/>
          <w:szCs w:val="24"/>
        </w:rPr>
        <w:t xml:space="preserve">. </w:t>
      </w:r>
    </w:p>
    <w:p w14:paraId="2CAE1C6E" w14:textId="5B212ECC" w:rsidR="00A277BB" w:rsidRPr="00E51A18" w:rsidRDefault="67020A5B" w:rsidP="00276998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E51A18">
        <w:rPr>
          <w:rFonts w:eastAsiaTheme="minorEastAsia"/>
          <w:sz w:val="24"/>
          <w:szCs w:val="24"/>
        </w:rPr>
        <w:t xml:space="preserve">Where goods and / or services cannot be procured from the UK, operators should articulate, via the SCAP, why those goods and / or services cannot be </w:t>
      </w:r>
      <w:r w:rsidR="00276998" w:rsidRPr="00E51A18">
        <w:rPr>
          <w:rFonts w:eastAsiaTheme="minorEastAsia"/>
          <w:sz w:val="24"/>
          <w:szCs w:val="24"/>
        </w:rPr>
        <w:t>sourced</w:t>
      </w:r>
      <w:r w:rsidRPr="00E51A18">
        <w:rPr>
          <w:rFonts w:eastAsiaTheme="minorEastAsia"/>
          <w:sz w:val="24"/>
          <w:szCs w:val="24"/>
        </w:rPr>
        <w:t xml:space="preserve"> from a UK company.  This will allow the NSTA to identify gaps in </w:t>
      </w:r>
      <w:r w:rsidR="005F493E" w:rsidRPr="00E51A18">
        <w:rPr>
          <w:rFonts w:eastAsiaTheme="minorEastAsia"/>
          <w:sz w:val="24"/>
          <w:szCs w:val="24"/>
        </w:rPr>
        <w:t>UK capability</w:t>
      </w:r>
      <w:r w:rsidRPr="00E51A18">
        <w:rPr>
          <w:rFonts w:eastAsiaTheme="minorEastAsia"/>
          <w:sz w:val="24"/>
          <w:szCs w:val="24"/>
        </w:rPr>
        <w:t>.</w:t>
      </w:r>
    </w:p>
    <w:p w14:paraId="50D16FD4" w14:textId="3DACA1F0" w:rsidR="00044929" w:rsidRDefault="00044929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2CD4437" w14:textId="37BEA528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7D2CBB2" w14:textId="5CDD2F2C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C679E13" w14:textId="1E2818BE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34A02B3" w14:textId="4956400E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CE42751" w14:textId="27C50AD2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D3CDD33" w14:textId="32FECF3C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461053D" w14:textId="4912EA33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5AF75E0" w14:textId="6749F9ED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C05D423" w14:textId="26A810CB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898F991" w14:textId="3FAADD88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9018A8B" w14:textId="6B2CABB1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BC3A428" w14:textId="0B7D59F1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F029FF" w14:textId="3288055D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7427F94" w14:textId="3D250C7C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15CC1F8" w14:textId="6E8A2786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51B371E" w14:textId="401E420E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3D8E9DA" w14:textId="13903713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E9D9671" w14:textId="1EA12BEB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1E990F" w14:textId="38E2A140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950F50E" w14:textId="61D60E00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BE3EFC3" w14:textId="2271FCE9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A002DDF" w14:textId="43EC7278" w:rsidR="0059764A" w:rsidRDefault="0059764A" w:rsidP="00612EA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0E5FBD8" w14:textId="37154286" w:rsidR="00044929" w:rsidRPr="00044929" w:rsidRDefault="00044929" w:rsidP="00044929">
      <w:pPr>
        <w:rPr>
          <w:rFonts w:cstheme="minorHAnsi"/>
          <w:b/>
          <w:bCs/>
          <w:sz w:val="24"/>
          <w:szCs w:val="24"/>
        </w:rPr>
      </w:pPr>
      <w:r w:rsidRPr="00044929">
        <w:rPr>
          <w:rFonts w:cstheme="minorHAnsi"/>
          <w:b/>
          <w:bCs/>
          <w:sz w:val="24"/>
          <w:szCs w:val="24"/>
        </w:rPr>
        <w:lastRenderedPageBreak/>
        <w:t>Worked Example</w:t>
      </w:r>
    </w:p>
    <w:p w14:paraId="01FB6870" w14:textId="77777777" w:rsidR="00044929" w:rsidRPr="00044929" w:rsidRDefault="00044929" w:rsidP="0004492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44929">
        <w:rPr>
          <w:rFonts w:asciiTheme="minorHAnsi" w:hAnsiTheme="minorHAnsi" w:cstheme="minorHAnsi"/>
          <w:b/>
          <w:bCs/>
          <w:color w:val="000000"/>
        </w:rPr>
        <w:t>Case Study Details:</w:t>
      </w:r>
    </w:p>
    <w:p w14:paraId="24E2316F" w14:textId="77777777" w:rsidR="00044929" w:rsidRPr="00044929" w:rsidRDefault="00044929" w:rsidP="0004492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48F3144" w14:textId="77777777" w:rsidR="00044929" w:rsidRPr="00044929" w:rsidRDefault="00044929" w:rsidP="0004492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44929">
        <w:rPr>
          <w:rFonts w:asciiTheme="minorHAnsi" w:hAnsiTheme="minorHAnsi" w:cstheme="minorHAnsi"/>
        </w:rPr>
        <w:t>Decommissioning Programme</w:t>
      </w:r>
    </w:p>
    <w:p w14:paraId="5461C230" w14:textId="77777777" w:rsidR="00044929" w:rsidRPr="00044929" w:rsidRDefault="00044929" w:rsidP="0004492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5638607" w14:textId="77777777" w:rsidR="00044929" w:rsidRPr="00044929" w:rsidRDefault="00044929" w:rsidP="0004492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044929">
        <w:rPr>
          <w:rFonts w:eastAsia="Times New Roman" w:cstheme="minorHAnsi"/>
          <w:color w:val="000000"/>
          <w:lang w:eastAsia="en-GB"/>
        </w:rPr>
        <w:t>Total Value of Contracts £100 Million</w:t>
      </w:r>
    </w:p>
    <w:p w14:paraId="1619852D" w14:textId="77777777" w:rsidR="00044929" w:rsidRPr="00333422" w:rsidRDefault="00044929" w:rsidP="0004492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333422">
        <w:rPr>
          <w:rFonts w:eastAsia="Times New Roman" w:cstheme="minorHAnsi"/>
          <w:color w:val="000000"/>
          <w:lang w:eastAsia="en-GB"/>
        </w:rPr>
        <w:t>4 Scopes of work issued to 4 Tier One Contractors (A, B, C, D)</w:t>
      </w:r>
    </w:p>
    <w:p w14:paraId="69469288" w14:textId="24BD9969" w:rsidR="00612EAB" w:rsidRPr="00E741E1" w:rsidRDefault="002C5795" w:rsidP="00612EAB">
      <w:pPr>
        <w:rPr>
          <w:rFonts w:cstheme="minorHAnsi"/>
          <w:b/>
          <w:bCs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8B31C86" wp14:editId="6E067B24">
            <wp:extent cx="5731510" cy="2895600"/>
            <wp:effectExtent l="0" t="0" r="2540" b="0"/>
            <wp:docPr id="2" name="Picture 2" descr="Diagram showing Scopes of work issued to 4 Tier One Contractors (A, B, C, 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 showing Scopes of work issued to 4 Tier One Contractors (A, B, C, D)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06C82" w14:textId="77777777" w:rsidR="00612EAB" w:rsidRPr="0031013B" w:rsidRDefault="00612EAB" w:rsidP="00612EAB">
      <w:pPr>
        <w:rPr>
          <w:rFonts w:cstheme="minorHAnsi"/>
          <w:sz w:val="24"/>
          <w:szCs w:val="24"/>
        </w:rPr>
      </w:pPr>
      <w:r w:rsidRPr="0031013B">
        <w:rPr>
          <w:rFonts w:cstheme="minorHAnsi"/>
          <w:sz w:val="24"/>
          <w:szCs w:val="24"/>
        </w:rPr>
        <w:t xml:space="preserve">In the above scenario the Operator, Contractor A, and Contractor C would all be required to submit a SCAP.  Local Content contribution for Contractor B would be estimated by the Operator on the basis that the contract between the Operator and Contractor B does not meet the £25MM threshold. </w:t>
      </w:r>
    </w:p>
    <w:p w14:paraId="76CC70A7" w14:textId="4F971511" w:rsidR="00077584" w:rsidRPr="00077584" w:rsidRDefault="00077584" w:rsidP="00612EA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Contracting Table </w:t>
      </w:r>
    </w:p>
    <w:p w14:paraId="26442C35" w14:textId="78848C0F" w:rsidR="00612EAB" w:rsidRPr="0031013B" w:rsidRDefault="00612EAB" w:rsidP="00612EAB">
      <w:pPr>
        <w:rPr>
          <w:rFonts w:cstheme="minorHAnsi"/>
          <w:sz w:val="24"/>
          <w:szCs w:val="24"/>
        </w:rPr>
      </w:pPr>
      <w:r w:rsidRPr="0031013B">
        <w:rPr>
          <w:rFonts w:cstheme="minorHAnsi"/>
          <w:sz w:val="24"/>
          <w:szCs w:val="24"/>
        </w:rPr>
        <w:t>Below is a</w:t>
      </w:r>
      <w:r w:rsidR="00EA1158" w:rsidRPr="0031013B">
        <w:rPr>
          <w:rFonts w:cstheme="minorHAnsi"/>
          <w:sz w:val="24"/>
          <w:szCs w:val="24"/>
        </w:rPr>
        <w:t>n example of the</w:t>
      </w:r>
      <w:r w:rsidRPr="0031013B">
        <w:rPr>
          <w:rFonts w:cstheme="minorHAnsi"/>
          <w:sz w:val="24"/>
          <w:szCs w:val="24"/>
        </w:rPr>
        <w:t xml:space="preserve"> breakdown of Local Content Contribution for the overall project based on the principle of contract award value as a percentage of Total Project Third Party Costs.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"/>
        <w:gridCol w:w="1052"/>
        <w:gridCol w:w="1117"/>
        <w:gridCol w:w="1548"/>
        <w:gridCol w:w="1405"/>
        <w:gridCol w:w="1440"/>
        <w:gridCol w:w="1141"/>
      </w:tblGrid>
      <w:tr w:rsidR="00D42F80" w14:paraId="3230CB3D" w14:textId="77777777" w:rsidTr="00EC5B39">
        <w:tc>
          <w:tcPr>
            <w:tcW w:w="1313" w:type="dxa"/>
          </w:tcPr>
          <w:p w14:paraId="1B3397AA" w14:textId="77777777" w:rsidR="00E55026" w:rsidRPr="00F22FE9" w:rsidRDefault="00E55026" w:rsidP="006653CA">
            <w:pPr>
              <w:rPr>
                <w:b/>
                <w:bCs/>
              </w:rPr>
            </w:pPr>
            <w:r w:rsidRPr="00F22FE9">
              <w:rPr>
                <w:b/>
                <w:bCs/>
              </w:rPr>
              <w:t>Company</w:t>
            </w:r>
          </w:p>
        </w:tc>
        <w:tc>
          <w:tcPr>
            <w:tcW w:w="1052" w:type="dxa"/>
          </w:tcPr>
          <w:p w14:paraId="254E2203" w14:textId="77777777" w:rsidR="00E55026" w:rsidRPr="00F22FE9" w:rsidRDefault="00E55026" w:rsidP="006653CA">
            <w:pPr>
              <w:rPr>
                <w:b/>
                <w:bCs/>
              </w:rPr>
            </w:pPr>
            <w:r w:rsidRPr="00F22FE9">
              <w:rPr>
                <w:b/>
                <w:bCs/>
              </w:rPr>
              <w:t>location</w:t>
            </w:r>
          </w:p>
        </w:tc>
        <w:tc>
          <w:tcPr>
            <w:tcW w:w="1117" w:type="dxa"/>
          </w:tcPr>
          <w:p w14:paraId="417B8AFB" w14:textId="77777777" w:rsidR="00E55026" w:rsidRPr="00F22FE9" w:rsidRDefault="00E55026" w:rsidP="006653CA">
            <w:pPr>
              <w:rPr>
                <w:b/>
                <w:bCs/>
              </w:rPr>
            </w:pPr>
            <w:r w:rsidRPr="00F22FE9">
              <w:rPr>
                <w:b/>
                <w:bCs/>
              </w:rPr>
              <w:t>Value</w:t>
            </w:r>
          </w:p>
        </w:tc>
        <w:tc>
          <w:tcPr>
            <w:tcW w:w="1548" w:type="dxa"/>
          </w:tcPr>
          <w:p w14:paraId="3B8F9A5F" w14:textId="77777777" w:rsidR="00E55026" w:rsidRPr="00F22FE9" w:rsidRDefault="00E55026" w:rsidP="006653CA">
            <w:pPr>
              <w:rPr>
                <w:b/>
                <w:bCs/>
              </w:rPr>
            </w:pPr>
            <w:r>
              <w:rPr>
                <w:b/>
                <w:bCs/>
              </w:rPr>
              <w:t>Subcontractor Name</w:t>
            </w:r>
          </w:p>
        </w:tc>
        <w:tc>
          <w:tcPr>
            <w:tcW w:w="1405" w:type="dxa"/>
          </w:tcPr>
          <w:p w14:paraId="0F220A87" w14:textId="77777777" w:rsidR="00E55026" w:rsidRPr="00F22FE9" w:rsidRDefault="00E55026" w:rsidP="006653CA">
            <w:pPr>
              <w:rPr>
                <w:b/>
                <w:bCs/>
              </w:rPr>
            </w:pPr>
            <w:r w:rsidRPr="00F22FE9">
              <w:rPr>
                <w:b/>
                <w:bCs/>
              </w:rPr>
              <w:t>Subcontract value</w:t>
            </w:r>
          </w:p>
        </w:tc>
        <w:tc>
          <w:tcPr>
            <w:tcW w:w="1440" w:type="dxa"/>
          </w:tcPr>
          <w:p w14:paraId="27FA929E" w14:textId="77777777" w:rsidR="00E55026" w:rsidRPr="00F22FE9" w:rsidRDefault="00E55026" w:rsidP="006653CA">
            <w:pPr>
              <w:rPr>
                <w:b/>
                <w:bCs/>
              </w:rPr>
            </w:pPr>
            <w:r w:rsidRPr="00F22FE9">
              <w:rPr>
                <w:b/>
                <w:bCs/>
              </w:rPr>
              <w:t>Good and / or Service</w:t>
            </w:r>
          </w:p>
        </w:tc>
        <w:tc>
          <w:tcPr>
            <w:tcW w:w="1141" w:type="dxa"/>
          </w:tcPr>
          <w:p w14:paraId="52D78C5E" w14:textId="77777777" w:rsidR="00E55026" w:rsidRPr="00F22FE9" w:rsidRDefault="00E55026" w:rsidP="006653CA">
            <w:pPr>
              <w:rPr>
                <w:b/>
                <w:bCs/>
              </w:rPr>
            </w:pPr>
            <w:r w:rsidRPr="00F22FE9">
              <w:rPr>
                <w:b/>
                <w:bCs/>
              </w:rPr>
              <w:t>location</w:t>
            </w:r>
          </w:p>
        </w:tc>
      </w:tr>
      <w:tr w:rsidR="00D42F80" w14:paraId="452C8CB6" w14:textId="77777777" w:rsidTr="00EC5B39">
        <w:tc>
          <w:tcPr>
            <w:tcW w:w="1313" w:type="dxa"/>
          </w:tcPr>
          <w:p w14:paraId="14F1BBE1" w14:textId="206ED801" w:rsidR="00E55026" w:rsidRDefault="00560230" w:rsidP="002C5795">
            <w:pPr>
              <w:spacing w:line="259" w:lineRule="auto"/>
            </w:pPr>
            <w:r>
              <w:t xml:space="preserve">Contractor </w:t>
            </w:r>
            <w:r w:rsidR="10A4654A">
              <w:t>A</w:t>
            </w:r>
          </w:p>
        </w:tc>
        <w:tc>
          <w:tcPr>
            <w:tcW w:w="1052" w:type="dxa"/>
          </w:tcPr>
          <w:p w14:paraId="18C15C9D" w14:textId="77777777" w:rsidR="00E55026" w:rsidRDefault="00E55026" w:rsidP="006653CA">
            <w:r>
              <w:t>UK</w:t>
            </w:r>
          </w:p>
        </w:tc>
        <w:tc>
          <w:tcPr>
            <w:tcW w:w="1117" w:type="dxa"/>
          </w:tcPr>
          <w:p w14:paraId="4D0ABD83" w14:textId="77777777" w:rsidR="00E55026" w:rsidRDefault="00E55026" w:rsidP="006653CA">
            <w:r>
              <w:t>£100mm</w:t>
            </w:r>
          </w:p>
        </w:tc>
        <w:tc>
          <w:tcPr>
            <w:tcW w:w="1548" w:type="dxa"/>
          </w:tcPr>
          <w:p w14:paraId="3015398F" w14:textId="77777777" w:rsidR="00E55026" w:rsidRDefault="00E55026" w:rsidP="006653CA">
            <w:r>
              <w:t>A1</w:t>
            </w:r>
          </w:p>
        </w:tc>
        <w:tc>
          <w:tcPr>
            <w:tcW w:w="1405" w:type="dxa"/>
          </w:tcPr>
          <w:p w14:paraId="394DFD2A" w14:textId="77777777" w:rsidR="00E55026" w:rsidRDefault="00E55026" w:rsidP="006653CA">
            <w:r>
              <w:t>£50mm</w:t>
            </w:r>
          </w:p>
        </w:tc>
        <w:tc>
          <w:tcPr>
            <w:tcW w:w="1440" w:type="dxa"/>
          </w:tcPr>
          <w:p w14:paraId="7FF60268" w14:textId="05F1A10C" w:rsidR="00E55026" w:rsidRDefault="001D3C71" w:rsidP="006653CA">
            <w:r>
              <w:t>Vessels</w:t>
            </w:r>
          </w:p>
        </w:tc>
        <w:tc>
          <w:tcPr>
            <w:tcW w:w="1141" w:type="dxa"/>
          </w:tcPr>
          <w:p w14:paraId="1BC73AEE" w14:textId="77777777" w:rsidR="00E55026" w:rsidRDefault="00E55026" w:rsidP="006653CA">
            <w:r>
              <w:t>India</w:t>
            </w:r>
          </w:p>
        </w:tc>
      </w:tr>
      <w:tr w:rsidR="003F57A7" w14:paraId="0EED31FF" w14:textId="77777777" w:rsidTr="003F57A7">
        <w:tc>
          <w:tcPr>
            <w:tcW w:w="1313" w:type="dxa"/>
          </w:tcPr>
          <w:p w14:paraId="0D5BC6A4" w14:textId="138F1895" w:rsidR="001F3AC7" w:rsidRDefault="001F3AC7" w:rsidP="001F3AC7">
            <w:r>
              <w:t>Contractor A</w:t>
            </w:r>
          </w:p>
        </w:tc>
        <w:tc>
          <w:tcPr>
            <w:tcW w:w="1052" w:type="dxa"/>
          </w:tcPr>
          <w:p w14:paraId="14E0482A" w14:textId="02C0ADC4" w:rsidR="001F3AC7" w:rsidRDefault="001F3AC7" w:rsidP="001F3AC7">
            <w:r>
              <w:t>UK</w:t>
            </w:r>
          </w:p>
        </w:tc>
        <w:tc>
          <w:tcPr>
            <w:tcW w:w="1117" w:type="dxa"/>
          </w:tcPr>
          <w:p w14:paraId="591EEA32" w14:textId="21BBAE30" w:rsidR="001F3AC7" w:rsidRDefault="001F3AC7" w:rsidP="001F3AC7">
            <w:r>
              <w:t>£100mm</w:t>
            </w:r>
          </w:p>
        </w:tc>
        <w:tc>
          <w:tcPr>
            <w:tcW w:w="1548" w:type="dxa"/>
          </w:tcPr>
          <w:p w14:paraId="120B7654" w14:textId="77777777" w:rsidR="001F3AC7" w:rsidRDefault="001F3AC7" w:rsidP="001F3AC7">
            <w:r>
              <w:t>A2</w:t>
            </w:r>
          </w:p>
        </w:tc>
        <w:tc>
          <w:tcPr>
            <w:tcW w:w="1405" w:type="dxa"/>
          </w:tcPr>
          <w:p w14:paraId="5CC73926" w14:textId="77777777" w:rsidR="001F3AC7" w:rsidRDefault="001F3AC7" w:rsidP="001F3AC7">
            <w:r>
              <w:t>£30mm</w:t>
            </w:r>
          </w:p>
        </w:tc>
        <w:tc>
          <w:tcPr>
            <w:tcW w:w="1440" w:type="dxa"/>
          </w:tcPr>
          <w:p w14:paraId="61E84F54" w14:textId="77777777" w:rsidR="001F3AC7" w:rsidRDefault="001F3AC7" w:rsidP="001F3AC7">
            <w:r>
              <w:t>Valves</w:t>
            </w:r>
          </w:p>
        </w:tc>
        <w:tc>
          <w:tcPr>
            <w:tcW w:w="1141" w:type="dxa"/>
          </w:tcPr>
          <w:p w14:paraId="28383244" w14:textId="77777777" w:rsidR="001F3AC7" w:rsidRDefault="001F3AC7" w:rsidP="001F3AC7">
            <w:r>
              <w:t>UK</w:t>
            </w:r>
          </w:p>
        </w:tc>
      </w:tr>
      <w:tr w:rsidR="003F57A7" w14:paraId="6FB06859" w14:textId="77777777" w:rsidTr="003F57A7">
        <w:tc>
          <w:tcPr>
            <w:tcW w:w="1313" w:type="dxa"/>
          </w:tcPr>
          <w:p w14:paraId="471421FC" w14:textId="7EEC5813" w:rsidR="00204330" w:rsidRDefault="00204330" w:rsidP="00204330">
            <w:r>
              <w:t>Contractor A</w:t>
            </w:r>
          </w:p>
        </w:tc>
        <w:tc>
          <w:tcPr>
            <w:tcW w:w="1052" w:type="dxa"/>
          </w:tcPr>
          <w:p w14:paraId="6A68A087" w14:textId="3EDC115F" w:rsidR="00204330" w:rsidRDefault="00204330" w:rsidP="00204330">
            <w:r>
              <w:t>UK</w:t>
            </w:r>
          </w:p>
        </w:tc>
        <w:tc>
          <w:tcPr>
            <w:tcW w:w="1117" w:type="dxa"/>
          </w:tcPr>
          <w:p w14:paraId="3CA3CE91" w14:textId="785BDBD1" w:rsidR="00204330" w:rsidRDefault="00204330" w:rsidP="00204330">
            <w:r>
              <w:t>£100mm</w:t>
            </w:r>
          </w:p>
        </w:tc>
        <w:tc>
          <w:tcPr>
            <w:tcW w:w="1548" w:type="dxa"/>
          </w:tcPr>
          <w:p w14:paraId="73385CBA" w14:textId="77777777" w:rsidR="00204330" w:rsidRDefault="00204330" w:rsidP="00204330">
            <w:r>
              <w:t>A3</w:t>
            </w:r>
          </w:p>
        </w:tc>
        <w:tc>
          <w:tcPr>
            <w:tcW w:w="1405" w:type="dxa"/>
          </w:tcPr>
          <w:p w14:paraId="544A336C" w14:textId="77777777" w:rsidR="00204330" w:rsidRDefault="00204330" w:rsidP="00204330">
            <w:r>
              <w:t>£15mm</w:t>
            </w:r>
          </w:p>
        </w:tc>
        <w:tc>
          <w:tcPr>
            <w:tcW w:w="1440" w:type="dxa"/>
          </w:tcPr>
          <w:p w14:paraId="3DA386C8" w14:textId="011C7A82" w:rsidR="00204330" w:rsidRDefault="00204330" w:rsidP="00204330">
            <w:r>
              <w:t>Piping</w:t>
            </w:r>
          </w:p>
        </w:tc>
        <w:tc>
          <w:tcPr>
            <w:tcW w:w="1141" w:type="dxa"/>
          </w:tcPr>
          <w:p w14:paraId="45768A9C" w14:textId="77777777" w:rsidR="00204330" w:rsidRDefault="00204330" w:rsidP="00204330">
            <w:r>
              <w:t>UK</w:t>
            </w:r>
          </w:p>
        </w:tc>
      </w:tr>
      <w:tr w:rsidR="003F57A7" w14:paraId="4A141971" w14:textId="77777777" w:rsidTr="003F57A7">
        <w:tc>
          <w:tcPr>
            <w:tcW w:w="1313" w:type="dxa"/>
          </w:tcPr>
          <w:p w14:paraId="3B641260" w14:textId="1E9B9C6E" w:rsidR="00204330" w:rsidRDefault="00204330" w:rsidP="00204330">
            <w:r>
              <w:t>Contractor A</w:t>
            </w:r>
          </w:p>
        </w:tc>
        <w:tc>
          <w:tcPr>
            <w:tcW w:w="1052" w:type="dxa"/>
          </w:tcPr>
          <w:p w14:paraId="0921B33D" w14:textId="4F7DBBD6" w:rsidR="00204330" w:rsidRDefault="00204330" w:rsidP="00204330">
            <w:r>
              <w:t>UK</w:t>
            </w:r>
          </w:p>
        </w:tc>
        <w:tc>
          <w:tcPr>
            <w:tcW w:w="1117" w:type="dxa"/>
          </w:tcPr>
          <w:p w14:paraId="5DA00AD4" w14:textId="52C17557" w:rsidR="00204330" w:rsidRDefault="00204330" w:rsidP="00204330">
            <w:r>
              <w:t>£100mm</w:t>
            </w:r>
          </w:p>
        </w:tc>
        <w:tc>
          <w:tcPr>
            <w:tcW w:w="1548" w:type="dxa"/>
          </w:tcPr>
          <w:p w14:paraId="5FCC4174" w14:textId="77777777" w:rsidR="00204330" w:rsidRDefault="00204330" w:rsidP="00204330"/>
        </w:tc>
        <w:tc>
          <w:tcPr>
            <w:tcW w:w="1405" w:type="dxa"/>
          </w:tcPr>
          <w:p w14:paraId="39F7E232" w14:textId="77777777" w:rsidR="00204330" w:rsidRDefault="00204330" w:rsidP="00204330">
            <w:r>
              <w:t>£5mm</w:t>
            </w:r>
          </w:p>
        </w:tc>
        <w:tc>
          <w:tcPr>
            <w:tcW w:w="1440" w:type="dxa"/>
          </w:tcPr>
          <w:p w14:paraId="75AD76F2" w14:textId="77777777" w:rsidR="00204330" w:rsidRDefault="00204330" w:rsidP="00204330">
            <w:r>
              <w:t>Other</w:t>
            </w:r>
          </w:p>
        </w:tc>
        <w:tc>
          <w:tcPr>
            <w:tcW w:w="1141" w:type="dxa"/>
          </w:tcPr>
          <w:p w14:paraId="1AB91981" w14:textId="77777777" w:rsidR="00204330" w:rsidRDefault="00204330" w:rsidP="00204330">
            <w:r>
              <w:t>N/A</w:t>
            </w:r>
          </w:p>
        </w:tc>
      </w:tr>
      <w:tr w:rsidR="00204330" w14:paraId="662D1D9F" w14:textId="77777777" w:rsidTr="00EC5B39">
        <w:tc>
          <w:tcPr>
            <w:tcW w:w="1313" w:type="dxa"/>
          </w:tcPr>
          <w:p w14:paraId="0020EB02" w14:textId="576151C3" w:rsidR="00204330" w:rsidRDefault="00204330" w:rsidP="00204330">
            <w:r>
              <w:t>Contractor B</w:t>
            </w:r>
          </w:p>
        </w:tc>
        <w:tc>
          <w:tcPr>
            <w:tcW w:w="1052" w:type="dxa"/>
          </w:tcPr>
          <w:p w14:paraId="09E44EDF" w14:textId="77777777" w:rsidR="00204330" w:rsidRDefault="00204330" w:rsidP="00204330">
            <w:r>
              <w:t>UK</w:t>
            </w:r>
          </w:p>
        </w:tc>
        <w:tc>
          <w:tcPr>
            <w:tcW w:w="1117" w:type="dxa"/>
          </w:tcPr>
          <w:p w14:paraId="16B27BC3" w14:textId="77777777" w:rsidR="00204330" w:rsidRDefault="00204330" w:rsidP="00204330">
            <w:r>
              <w:t>£100mm</w:t>
            </w:r>
          </w:p>
        </w:tc>
        <w:tc>
          <w:tcPr>
            <w:tcW w:w="1548" w:type="dxa"/>
          </w:tcPr>
          <w:p w14:paraId="584292EA" w14:textId="77777777" w:rsidR="00204330" w:rsidRDefault="00204330" w:rsidP="00204330">
            <w:r>
              <w:t>B1</w:t>
            </w:r>
          </w:p>
        </w:tc>
        <w:tc>
          <w:tcPr>
            <w:tcW w:w="1405" w:type="dxa"/>
          </w:tcPr>
          <w:p w14:paraId="0D0AF69C" w14:textId="77777777" w:rsidR="00204330" w:rsidRDefault="00204330" w:rsidP="00204330">
            <w:r>
              <w:t>£50mm</w:t>
            </w:r>
          </w:p>
        </w:tc>
        <w:tc>
          <w:tcPr>
            <w:tcW w:w="1440" w:type="dxa"/>
          </w:tcPr>
          <w:p w14:paraId="78A38780" w14:textId="0F548130" w:rsidR="00204330" w:rsidRDefault="00204330" w:rsidP="00204330">
            <w:r>
              <w:t>Electrolysers</w:t>
            </w:r>
          </w:p>
        </w:tc>
        <w:tc>
          <w:tcPr>
            <w:tcW w:w="1141" w:type="dxa"/>
          </w:tcPr>
          <w:p w14:paraId="3492289F" w14:textId="77777777" w:rsidR="00204330" w:rsidRDefault="00204330" w:rsidP="00204330">
            <w:r>
              <w:t>UK</w:t>
            </w:r>
          </w:p>
        </w:tc>
      </w:tr>
      <w:tr w:rsidR="00204330" w14:paraId="1C288310" w14:textId="77777777" w:rsidTr="00EC5B39">
        <w:tc>
          <w:tcPr>
            <w:tcW w:w="1313" w:type="dxa"/>
          </w:tcPr>
          <w:p w14:paraId="307D3D6A" w14:textId="77777777" w:rsidR="00204330" w:rsidRDefault="00204330" w:rsidP="00204330">
            <w:r>
              <w:t>Contractor B</w:t>
            </w:r>
          </w:p>
        </w:tc>
        <w:tc>
          <w:tcPr>
            <w:tcW w:w="1052" w:type="dxa"/>
          </w:tcPr>
          <w:p w14:paraId="1D1AF2B5" w14:textId="2DDDC938" w:rsidR="00204330" w:rsidRDefault="00204330" w:rsidP="00204330">
            <w:r>
              <w:t>UK</w:t>
            </w:r>
          </w:p>
        </w:tc>
        <w:tc>
          <w:tcPr>
            <w:tcW w:w="1117" w:type="dxa"/>
          </w:tcPr>
          <w:p w14:paraId="6BD65000" w14:textId="1743BF9F" w:rsidR="00204330" w:rsidRDefault="00204330" w:rsidP="00204330">
            <w:r>
              <w:t>£100mm</w:t>
            </w:r>
          </w:p>
        </w:tc>
        <w:tc>
          <w:tcPr>
            <w:tcW w:w="1548" w:type="dxa"/>
          </w:tcPr>
          <w:p w14:paraId="17C7F7C7" w14:textId="77777777" w:rsidR="00204330" w:rsidRDefault="00204330" w:rsidP="00204330">
            <w:r>
              <w:t>B2</w:t>
            </w:r>
          </w:p>
        </w:tc>
        <w:tc>
          <w:tcPr>
            <w:tcW w:w="1405" w:type="dxa"/>
          </w:tcPr>
          <w:p w14:paraId="6D7956CC" w14:textId="77777777" w:rsidR="00204330" w:rsidRDefault="00204330" w:rsidP="00204330">
            <w:r>
              <w:t>£30mm</w:t>
            </w:r>
          </w:p>
        </w:tc>
        <w:tc>
          <w:tcPr>
            <w:tcW w:w="1440" w:type="dxa"/>
          </w:tcPr>
          <w:p w14:paraId="6303B137" w14:textId="5020BDC6" w:rsidR="00204330" w:rsidRDefault="00204330" w:rsidP="00204330">
            <w:r>
              <w:t xml:space="preserve">Fuel Cells </w:t>
            </w:r>
          </w:p>
        </w:tc>
        <w:tc>
          <w:tcPr>
            <w:tcW w:w="1141" w:type="dxa"/>
          </w:tcPr>
          <w:p w14:paraId="1FB27468" w14:textId="77777777" w:rsidR="00204330" w:rsidRDefault="00204330" w:rsidP="00204330">
            <w:r>
              <w:t>UK</w:t>
            </w:r>
          </w:p>
        </w:tc>
      </w:tr>
      <w:tr w:rsidR="00204330" w14:paraId="76B22A87" w14:textId="77777777" w:rsidTr="00EC5B39">
        <w:tc>
          <w:tcPr>
            <w:tcW w:w="1313" w:type="dxa"/>
          </w:tcPr>
          <w:p w14:paraId="51DA3B95" w14:textId="1B75B1E7" w:rsidR="00204330" w:rsidRDefault="00204330" w:rsidP="00204330">
            <w:r>
              <w:lastRenderedPageBreak/>
              <w:t>Contractor B</w:t>
            </w:r>
          </w:p>
        </w:tc>
        <w:tc>
          <w:tcPr>
            <w:tcW w:w="1052" w:type="dxa"/>
          </w:tcPr>
          <w:p w14:paraId="3C2CA1B0" w14:textId="5B16F92A" w:rsidR="00204330" w:rsidRDefault="00204330" w:rsidP="00204330">
            <w:r>
              <w:t>UK</w:t>
            </w:r>
          </w:p>
        </w:tc>
        <w:tc>
          <w:tcPr>
            <w:tcW w:w="1117" w:type="dxa"/>
          </w:tcPr>
          <w:p w14:paraId="5938C903" w14:textId="3C415B27" w:rsidR="00204330" w:rsidRDefault="00204330" w:rsidP="00204330">
            <w:r>
              <w:t>£100mm</w:t>
            </w:r>
          </w:p>
        </w:tc>
        <w:tc>
          <w:tcPr>
            <w:tcW w:w="1548" w:type="dxa"/>
          </w:tcPr>
          <w:p w14:paraId="72846DE0" w14:textId="77777777" w:rsidR="00204330" w:rsidRDefault="00204330" w:rsidP="00204330">
            <w:r>
              <w:t>B3</w:t>
            </w:r>
          </w:p>
        </w:tc>
        <w:tc>
          <w:tcPr>
            <w:tcW w:w="1405" w:type="dxa"/>
          </w:tcPr>
          <w:p w14:paraId="5D7818E5" w14:textId="77777777" w:rsidR="00204330" w:rsidRDefault="00204330" w:rsidP="00204330">
            <w:r>
              <w:t>£20mm</w:t>
            </w:r>
          </w:p>
        </w:tc>
        <w:tc>
          <w:tcPr>
            <w:tcW w:w="1440" w:type="dxa"/>
          </w:tcPr>
          <w:p w14:paraId="635FE008" w14:textId="499FF8F7" w:rsidR="00204330" w:rsidRDefault="00204330" w:rsidP="00204330">
            <w:r>
              <w:t>Engineering</w:t>
            </w:r>
          </w:p>
        </w:tc>
        <w:tc>
          <w:tcPr>
            <w:tcW w:w="1141" w:type="dxa"/>
          </w:tcPr>
          <w:p w14:paraId="702280C0" w14:textId="77777777" w:rsidR="00204330" w:rsidRDefault="00204330" w:rsidP="00204330">
            <w:r>
              <w:t>Denmark</w:t>
            </w:r>
          </w:p>
        </w:tc>
      </w:tr>
      <w:tr w:rsidR="00204330" w14:paraId="4E5685F3" w14:textId="77777777" w:rsidTr="00EC5B39">
        <w:tc>
          <w:tcPr>
            <w:tcW w:w="1313" w:type="dxa"/>
          </w:tcPr>
          <w:p w14:paraId="2C1662B9" w14:textId="4B8A96E8" w:rsidR="00204330" w:rsidRDefault="00204330" w:rsidP="00204330">
            <w:r>
              <w:t>Contractor C</w:t>
            </w:r>
          </w:p>
        </w:tc>
        <w:tc>
          <w:tcPr>
            <w:tcW w:w="1052" w:type="dxa"/>
          </w:tcPr>
          <w:p w14:paraId="71D6196A" w14:textId="77777777" w:rsidR="00204330" w:rsidRDefault="00204330" w:rsidP="00204330">
            <w:r>
              <w:t>Norway</w:t>
            </w:r>
          </w:p>
        </w:tc>
        <w:tc>
          <w:tcPr>
            <w:tcW w:w="1117" w:type="dxa"/>
          </w:tcPr>
          <w:p w14:paraId="3D99D8EA" w14:textId="77777777" w:rsidR="00204330" w:rsidRDefault="00204330" w:rsidP="00204330">
            <w:r>
              <w:t>£80mm</w:t>
            </w:r>
          </w:p>
        </w:tc>
        <w:tc>
          <w:tcPr>
            <w:tcW w:w="1548" w:type="dxa"/>
          </w:tcPr>
          <w:p w14:paraId="522367F1" w14:textId="713CB2E4" w:rsidR="00204330" w:rsidRDefault="00204330" w:rsidP="00204330">
            <w:r>
              <w:t>N/A</w:t>
            </w:r>
          </w:p>
        </w:tc>
        <w:tc>
          <w:tcPr>
            <w:tcW w:w="1405" w:type="dxa"/>
          </w:tcPr>
          <w:p w14:paraId="335767B6" w14:textId="77777777" w:rsidR="00204330" w:rsidRDefault="00204330" w:rsidP="00204330">
            <w:r>
              <w:t>N/A</w:t>
            </w:r>
          </w:p>
        </w:tc>
        <w:tc>
          <w:tcPr>
            <w:tcW w:w="1440" w:type="dxa"/>
          </w:tcPr>
          <w:p w14:paraId="3B327ED2" w14:textId="6AC66A54" w:rsidR="00204330" w:rsidRDefault="00204330" w:rsidP="00204330">
            <w:r>
              <w:t>Fabrication</w:t>
            </w:r>
          </w:p>
        </w:tc>
        <w:tc>
          <w:tcPr>
            <w:tcW w:w="1141" w:type="dxa"/>
          </w:tcPr>
          <w:p w14:paraId="1B37FFA1" w14:textId="77777777" w:rsidR="00204330" w:rsidRDefault="00204330" w:rsidP="00204330"/>
        </w:tc>
      </w:tr>
    </w:tbl>
    <w:p w14:paraId="1438643C" w14:textId="29EBF61D" w:rsidR="003D4027" w:rsidRPr="00E741E1" w:rsidRDefault="003D4027" w:rsidP="002E6464">
      <w:pPr>
        <w:rPr>
          <w:rFonts w:cstheme="minorHAnsi"/>
          <w:b/>
          <w:bCs/>
          <w:sz w:val="28"/>
          <w:szCs w:val="28"/>
        </w:rPr>
      </w:pPr>
    </w:p>
    <w:sectPr w:rsidR="003D4027" w:rsidRPr="00E741E1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4C49" w14:textId="77777777" w:rsidR="00AE2E7D" w:rsidRDefault="00AE2E7D" w:rsidP="00C137FE">
      <w:pPr>
        <w:spacing w:after="0" w:line="240" w:lineRule="auto"/>
      </w:pPr>
      <w:r>
        <w:separator/>
      </w:r>
    </w:p>
  </w:endnote>
  <w:endnote w:type="continuationSeparator" w:id="0">
    <w:p w14:paraId="45CAD5B2" w14:textId="77777777" w:rsidR="00AE2E7D" w:rsidRDefault="00AE2E7D" w:rsidP="00C137FE">
      <w:pPr>
        <w:spacing w:after="0" w:line="240" w:lineRule="auto"/>
      </w:pPr>
      <w:r>
        <w:continuationSeparator/>
      </w:r>
    </w:p>
  </w:endnote>
  <w:endnote w:type="continuationNotice" w:id="1">
    <w:p w14:paraId="4C2A19D0" w14:textId="77777777" w:rsidR="00AE2E7D" w:rsidRDefault="00AE2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872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7E8F4" w14:textId="7E925736" w:rsidR="002E6464" w:rsidRDefault="002E64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6656FF" w14:textId="77777777" w:rsidR="002E6464" w:rsidRDefault="002E6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441A" w14:textId="77777777" w:rsidR="00AE2E7D" w:rsidRDefault="00AE2E7D" w:rsidP="00C137FE">
      <w:pPr>
        <w:spacing w:after="0" w:line="240" w:lineRule="auto"/>
      </w:pPr>
      <w:r>
        <w:separator/>
      </w:r>
    </w:p>
  </w:footnote>
  <w:footnote w:type="continuationSeparator" w:id="0">
    <w:p w14:paraId="1884AB56" w14:textId="77777777" w:rsidR="00AE2E7D" w:rsidRDefault="00AE2E7D" w:rsidP="00C137FE">
      <w:pPr>
        <w:spacing w:after="0" w:line="240" w:lineRule="auto"/>
      </w:pPr>
      <w:r>
        <w:continuationSeparator/>
      </w:r>
    </w:p>
  </w:footnote>
  <w:footnote w:type="continuationNotice" w:id="1">
    <w:p w14:paraId="0920CE80" w14:textId="77777777" w:rsidR="00AE2E7D" w:rsidRDefault="00AE2E7D">
      <w:pPr>
        <w:spacing w:after="0" w:line="240" w:lineRule="auto"/>
      </w:pPr>
    </w:p>
  </w:footnote>
  <w:footnote w:id="2">
    <w:p w14:paraId="5D562BFA" w14:textId="60DE4376" w:rsidR="00C137FE" w:rsidRPr="007D0464" w:rsidRDefault="00C137FE">
      <w:pPr>
        <w:pStyle w:val="FootnoteText"/>
        <w:rPr>
          <w:sz w:val="18"/>
          <w:szCs w:val="18"/>
        </w:rPr>
      </w:pPr>
      <w:r w:rsidRPr="007D0464">
        <w:rPr>
          <w:rStyle w:val="FootnoteReference"/>
          <w:sz w:val="18"/>
          <w:szCs w:val="18"/>
        </w:rPr>
        <w:footnoteRef/>
      </w:r>
      <w:r w:rsidRPr="007D0464">
        <w:rPr>
          <w:sz w:val="18"/>
          <w:szCs w:val="18"/>
        </w:rPr>
        <w:t xml:space="preserve"> </w:t>
      </w:r>
      <w:hyperlink r:id="rId1" w:history="1">
        <w:r w:rsidR="00792F39" w:rsidRPr="007D0464">
          <w:rPr>
            <w:rStyle w:val="Hyperlink"/>
            <w:sz w:val="18"/>
            <w:szCs w:val="18"/>
          </w:rPr>
          <w:t>North Sea Transition Deal - GOV.UK (www.gov.uk)</w:t>
        </w:r>
      </w:hyperlink>
    </w:p>
  </w:footnote>
  <w:footnote w:id="3">
    <w:p w14:paraId="26FE9DA8" w14:textId="25856162" w:rsidR="0056082A" w:rsidRDefault="0056082A">
      <w:pPr>
        <w:pStyle w:val="FootnoteText"/>
      </w:pPr>
      <w:r w:rsidRPr="007D0464">
        <w:rPr>
          <w:rStyle w:val="FootnoteReference"/>
          <w:sz w:val="18"/>
          <w:szCs w:val="18"/>
        </w:rPr>
        <w:footnoteRef/>
      </w:r>
      <w:r w:rsidRPr="007D0464">
        <w:rPr>
          <w:sz w:val="18"/>
          <w:szCs w:val="18"/>
        </w:rPr>
        <w:t xml:space="preserve"> </w:t>
      </w:r>
      <w:hyperlink r:id="rId2" w:history="1">
        <w:r w:rsidRPr="007D0464">
          <w:rPr>
            <w:rStyle w:val="Hyperlink"/>
            <w:sz w:val="18"/>
            <w:szCs w:val="18"/>
          </w:rPr>
          <w:t>North Sea Transition Authority (NSTA): Expectations - Asset stewardship - Exploration &amp; &lt;br/&gt;production (nstauthority.co.uk)</w:t>
        </w:r>
      </w:hyperlink>
    </w:p>
  </w:footnote>
  <w:footnote w:id="4">
    <w:p w14:paraId="70C553F8" w14:textId="3B1075BF" w:rsidR="67020A5B" w:rsidRPr="007D0464" w:rsidRDefault="67020A5B" w:rsidP="0059764A">
      <w:pPr>
        <w:pStyle w:val="FootnoteText"/>
        <w:rPr>
          <w:sz w:val="18"/>
          <w:szCs w:val="18"/>
        </w:rPr>
      </w:pPr>
      <w:r w:rsidRPr="007D0464">
        <w:rPr>
          <w:rStyle w:val="FootnoteReference"/>
          <w:sz w:val="18"/>
          <w:szCs w:val="18"/>
        </w:rPr>
        <w:footnoteRef/>
      </w:r>
      <w:r w:rsidRPr="007D0464">
        <w:rPr>
          <w:sz w:val="18"/>
          <w:szCs w:val="18"/>
        </w:rPr>
        <w:t xml:space="preserve"> </w:t>
      </w:r>
      <w:hyperlink r:id="rId3" w:history="1">
        <w:r w:rsidRPr="007D0464">
          <w:rPr>
            <w:rStyle w:val="Hyperlink"/>
            <w:sz w:val="18"/>
            <w:szCs w:val="18"/>
          </w:rPr>
          <w:t>Check your goods meet the rules of origin - GOV.UK (www.gov.uk)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A0F"/>
    <w:multiLevelType w:val="hybridMultilevel"/>
    <w:tmpl w:val="940867BC"/>
    <w:lvl w:ilvl="0" w:tplc="CD1AE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14F8"/>
    <w:multiLevelType w:val="hybridMultilevel"/>
    <w:tmpl w:val="477AA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375D"/>
    <w:multiLevelType w:val="hybridMultilevel"/>
    <w:tmpl w:val="CC02F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36218"/>
    <w:multiLevelType w:val="hybridMultilevel"/>
    <w:tmpl w:val="FFFFFFFF"/>
    <w:lvl w:ilvl="0" w:tplc="122E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82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43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8E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22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CD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E3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8E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C8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E20D2"/>
    <w:multiLevelType w:val="hybridMultilevel"/>
    <w:tmpl w:val="C04E1A80"/>
    <w:lvl w:ilvl="0" w:tplc="10CE0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A7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C9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27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60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E1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A7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6F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69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74272"/>
    <w:multiLevelType w:val="hybridMultilevel"/>
    <w:tmpl w:val="8F84218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B014E46"/>
    <w:multiLevelType w:val="hybridMultilevel"/>
    <w:tmpl w:val="39D4E6D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F280F4D"/>
    <w:multiLevelType w:val="hybridMultilevel"/>
    <w:tmpl w:val="6F1E4536"/>
    <w:lvl w:ilvl="0" w:tplc="CD1AE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F30CA"/>
    <w:multiLevelType w:val="hybridMultilevel"/>
    <w:tmpl w:val="FFFFFFFF"/>
    <w:lvl w:ilvl="0" w:tplc="CD1AE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8C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4E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8F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C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C5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0D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C1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4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290470">
    <w:abstractNumId w:val="8"/>
  </w:num>
  <w:num w:numId="2" w16cid:durableId="2041468209">
    <w:abstractNumId w:val="6"/>
  </w:num>
  <w:num w:numId="3" w16cid:durableId="1119908123">
    <w:abstractNumId w:val="2"/>
  </w:num>
  <w:num w:numId="4" w16cid:durableId="1391881771">
    <w:abstractNumId w:val="5"/>
  </w:num>
  <w:num w:numId="5" w16cid:durableId="1346328235">
    <w:abstractNumId w:val="1"/>
  </w:num>
  <w:num w:numId="6" w16cid:durableId="1923831167">
    <w:abstractNumId w:val="4"/>
  </w:num>
  <w:num w:numId="7" w16cid:durableId="92554464">
    <w:abstractNumId w:val="3"/>
  </w:num>
  <w:num w:numId="8" w16cid:durableId="2096587493">
    <w:abstractNumId w:val="2"/>
  </w:num>
  <w:num w:numId="9" w16cid:durableId="715588765">
    <w:abstractNumId w:val="7"/>
  </w:num>
  <w:num w:numId="10" w16cid:durableId="24631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27"/>
    <w:rsid w:val="000001F3"/>
    <w:rsid w:val="0000138B"/>
    <w:rsid w:val="0000516C"/>
    <w:rsid w:val="000075F3"/>
    <w:rsid w:val="00020106"/>
    <w:rsid w:val="00023E26"/>
    <w:rsid w:val="00027712"/>
    <w:rsid w:val="00041E80"/>
    <w:rsid w:val="00044929"/>
    <w:rsid w:val="00057178"/>
    <w:rsid w:val="00057341"/>
    <w:rsid w:val="00061D13"/>
    <w:rsid w:val="00065A37"/>
    <w:rsid w:val="00077584"/>
    <w:rsid w:val="00077F17"/>
    <w:rsid w:val="000813A2"/>
    <w:rsid w:val="00087E32"/>
    <w:rsid w:val="00092267"/>
    <w:rsid w:val="000922AF"/>
    <w:rsid w:val="000A4949"/>
    <w:rsid w:val="000A6E31"/>
    <w:rsid w:val="000B6900"/>
    <w:rsid w:val="000B7864"/>
    <w:rsid w:val="000C26B0"/>
    <w:rsid w:val="000C7E76"/>
    <w:rsid w:val="000D4FC0"/>
    <w:rsid w:val="000E2992"/>
    <w:rsid w:val="000E2DEA"/>
    <w:rsid w:val="00100E26"/>
    <w:rsid w:val="001016EF"/>
    <w:rsid w:val="001034B8"/>
    <w:rsid w:val="00123861"/>
    <w:rsid w:val="00124E2B"/>
    <w:rsid w:val="00134CA2"/>
    <w:rsid w:val="00135F5C"/>
    <w:rsid w:val="0014217C"/>
    <w:rsid w:val="00142817"/>
    <w:rsid w:val="00146FB8"/>
    <w:rsid w:val="00151443"/>
    <w:rsid w:val="00155A02"/>
    <w:rsid w:val="00172FBD"/>
    <w:rsid w:val="00175F66"/>
    <w:rsid w:val="001A0948"/>
    <w:rsid w:val="001A14AF"/>
    <w:rsid w:val="001A257B"/>
    <w:rsid w:val="001A6812"/>
    <w:rsid w:val="001B2639"/>
    <w:rsid w:val="001B4D71"/>
    <w:rsid w:val="001C1E37"/>
    <w:rsid w:val="001C3791"/>
    <w:rsid w:val="001D35BC"/>
    <w:rsid w:val="001D3C71"/>
    <w:rsid w:val="001D5657"/>
    <w:rsid w:val="001D758B"/>
    <w:rsid w:val="001F3AC7"/>
    <w:rsid w:val="001F3BE3"/>
    <w:rsid w:val="001F403A"/>
    <w:rsid w:val="001F7050"/>
    <w:rsid w:val="001F7722"/>
    <w:rsid w:val="00201BA9"/>
    <w:rsid w:val="00204330"/>
    <w:rsid w:val="00210860"/>
    <w:rsid w:val="00212BA4"/>
    <w:rsid w:val="00224606"/>
    <w:rsid w:val="00230CB7"/>
    <w:rsid w:val="00245A5D"/>
    <w:rsid w:val="002501F7"/>
    <w:rsid w:val="00263884"/>
    <w:rsid w:val="002679E4"/>
    <w:rsid w:val="002706B8"/>
    <w:rsid w:val="00270CF9"/>
    <w:rsid w:val="00276998"/>
    <w:rsid w:val="002847F3"/>
    <w:rsid w:val="0029609F"/>
    <w:rsid w:val="002A1A33"/>
    <w:rsid w:val="002A2DD8"/>
    <w:rsid w:val="002A4CB2"/>
    <w:rsid w:val="002B060B"/>
    <w:rsid w:val="002B5118"/>
    <w:rsid w:val="002C0F36"/>
    <w:rsid w:val="002C24A0"/>
    <w:rsid w:val="002C5795"/>
    <w:rsid w:val="002D08DD"/>
    <w:rsid w:val="002D21FE"/>
    <w:rsid w:val="002D22EF"/>
    <w:rsid w:val="002D56E1"/>
    <w:rsid w:val="002E4B3B"/>
    <w:rsid w:val="002E5E49"/>
    <w:rsid w:val="002E6464"/>
    <w:rsid w:val="002F0C75"/>
    <w:rsid w:val="002F4B5B"/>
    <w:rsid w:val="002F5A47"/>
    <w:rsid w:val="003066AD"/>
    <w:rsid w:val="003074A6"/>
    <w:rsid w:val="0031013B"/>
    <w:rsid w:val="00312AAB"/>
    <w:rsid w:val="00323FBC"/>
    <w:rsid w:val="0032553F"/>
    <w:rsid w:val="0032793F"/>
    <w:rsid w:val="00327D14"/>
    <w:rsid w:val="00333422"/>
    <w:rsid w:val="00337704"/>
    <w:rsid w:val="00341DFA"/>
    <w:rsid w:val="00346419"/>
    <w:rsid w:val="00353D1B"/>
    <w:rsid w:val="00354AF2"/>
    <w:rsid w:val="00355824"/>
    <w:rsid w:val="003570FA"/>
    <w:rsid w:val="00366164"/>
    <w:rsid w:val="00372048"/>
    <w:rsid w:val="0037346B"/>
    <w:rsid w:val="0038207A"/>
    <w:rsid w:val="00392864"/>
    <w:rsid w:val="003A0560"/>
    <w:rsid w:val="003A0870"/>
    <w:rsid w:val="003A1772"/>
    <w:rsid w:val="003A56D9"/>
    <w:rsid w:val="003B07D8"/>
    <w:rsid w:val="003D11EF"/>
    <w:rsid w:val="003D13FC"/>
    <w:rsid w:val="003D4027"/>
    <w:rsid w:val="003E0432"/>
    <w:rsid w:val="003E14FE"/>
    <w:rsid w:val="003E1A1F"/>
    <w:rsid w:val="003F28EA"/>
    <w:rsid w:val="003F5139"/>
    <w:rsid w:val="003F57A7"/>
    <w:rsid w:val="003F5BBA"/>
    <w:rsid w:val="00400242"/>
    <w:rsid w:val="00403986"/>
    <w:rsid w:val="004102E6"/>
    <w:rsid w:val="004230A1"/>
    <w:rsid w:val="004261DB"/>
    <w:rsid w:val="004339CE"/>
    <w:rsid w:val="004354BC"/>
    <w:rsid w:val="0043757F"/>
    <w:rsid w:val="00437AB9"/>
    <w:rsid w:val="00440FD0"/>
    <w:rsid w:val="004443CA"/>
    <w:rsid w:val="004472AE"/>
    <w:rsid w:val="00454ACF"/>
    <w:rsid w:val="0045599F"/>
    <w:rsid w:val="004569E1"/>
    <w:rsid w:val="004608E4"/>
    <w:rsid w:val="00462CDB"/>
    <w:rsid w:val="00462ECB"/>
    <w:rsid w:val="00470C4C"/>
    <w:rsid w:val="00474F94"/>
    <w:rsid w:val="004764DF"/>
    <w:rsid w:val="00477CB3"/>
    <w:rsid w:val="00482D24"/>
    <w:rsid w:val="004841F1"/>
    <w:rsid w:val="004874ED"/>
    <w:rsid w:val="0049116E"/>
    <w:rsid w:val="004959C6"/>
    <w:rsid w:val="004978FD"/>
    <w:rsid w:val="004A71C9"/>
    <w:rsid w:val="004D0CE9"/>
    <w:rsid w:val="004D45A6"/>
    <w:rsid w:val="004D4943"/>
    <w:rsid w:val="004E65AB"/>
    <w:rsid w:val="004F3D1D"/>
    <w:rsid w:val="004F7AEF"/>
    <w:rsid w:val="00500627"/>
    <w:rsid w:val="00501259"/>
    <w:rsid w:val="005138E1"/>
    <w:rsid w:val="005331CF"/>
    <w:rsid w:val="005354D8"/>
    <w:rsid w:val="00535CF3"/>
    <w:rsid w:val="00537308"/>
    <w:rsid w:val="00544AA3"/>
    <w:rsid w:val="00551D30"/>
    <w:rsid w:val="0055648B"/>
    <w:rsid w:val="00560230"/>
    <w:rsid w:val="0056082A"/>
    <w:rsid w:val="00562E95"/>
    <w:rsid w:val="00571F43"/>
    <w:rsid w:val="005821F2"/>
    <w:rsid w:val="005840D0"/>
    <w:rsid w:val="005843ED"/>
    <w:rsid w:val="00586A38"/>
    <w:rsid w:val="005929F3"/>
    <w:rsid w:val="00593579"/>
    <w:rsid w:val="005970FA"/>
    <w:rsid w:val="0059764A"/>
    <w:rsid w:val="005A07BF"/>
    <w:rsid w:val="005A07D4"/>
    <w:rsid w:val="005A1CEE"/>
    <w:rsid w:val="005A7EFB"/>
    <w:rsid w:val="005B0CDC"/>
    <w:rsid w:val="005C03C5"/>
    <w:rsid w:val="005C3F90"/>
    <w:rsid w:val="005E2836"/>
    <w:rsid w:val="005E4967"/>
    <w:rsid w:val="005E49BD"/>
    <w:rsid w:val="005E630D"/>
    <w:rsid w:val="005E63F4"/>
    <w:rsid w:val="005E6E8B"/>
    <w:rsid w:val="005F493E"/>
    <w:rsid w:val="00601A60"/>
    <w:rsid w:val="00603A2B"/>
    <w:rsid w:val="0060465E"/>
    <w:rsid w:val="006120C2"/>
    <w:rsid w:val="00612EAB"/>
    <w:rsid w:val="00614220"/>
    <w:rsid w:val="00621323"/>
    <w:rsid w:val="00622279"/>
    <w:rsid w:val="006242BB"/>
    <w:rsid w:val="006245DA"/>
    <w:rsid w:val="00633495"/>
    <w:rsid w:val="00637588"/>
    <w:rsid w:val="0064170D"/>
    <w:rsid w:val="00653644"/>
    <w:rsid w:val="00660716"/>
    <w:rsid w:val="006653CA"/>
    <w:rsid w:val="0066635E"/>
    <w:rsid w:val="00672741"/>
    <w:rsid w:val="00673AC1"/>
    <w:rsid w:val="00674884"/>
    <w:rsid w:val="00675550"/>
    <w:rsid w:val="006762BB"/>
    <w:rsid w:val="00683489"/>
    <w:rsid w:val="006A0044"/>
    <w:rsid w:val="006A1661"/>
    <w:rsid w:val="006B20AC"/>
    <w:rsid w:val="006B6276"/>
    <w:rsid w:val="006B6B7C"/>
    <w:rsid w:val="006B6D42"/>
    <w:rsid w:val="006C51C2"/>
    <w:rsid w:val="006C5392"/>
    <w:rsid w:val="006C7CBC"/>
    <w:rsid w:val="006C7CFD"/>
    <w:rsid w:val="006D2401"/>
    <w:rsid w:val="006E6A3F"/>
    <w:rsid w:val="00701A36"/>
    <w:rsid w:val="007036C0"/>
    <w:rsid w:val="0071316F"/>
    <w:rsid w:val="00713C3D"/>
    <w:rsid w:val="00715EFE"/>
    <w:rsid w:val="00724262"/>
    <w:rsid w:val="00724D2F"/>
    <w:rsid w:val="007304ED"/>
    <w:rsid w:val="00732669"/>
    <w:rsid w:val="00737B1D"/>
    <w:rsid w:val="007450CA"/>
    <w:rsid w:val="00746750"/>
    <w:rsid w:val="0076040E"/>
    <w:rsid w:val="00774F0B"/>
    <w:rsid w:val="00783052"/>
    <w:rsid w:val="0078307A"/>
    <w:rsid w:val="007904A6"/>
    <w:rsid w:val="00792BD6"/>
    <w:rsid w:val="00792F39"/>
    <w:rsid w:val="007949F2"/>
    <w:rsid w:val="007A015A"/>
    <w:rsid w:val="007A4DC9"/>
    <w:rsid w:val="007B241A"/>
    <w:rsid w:val="007B58A2"/>
    <w:rsid w:val="007C79A8"/>
    <w:rsid w:val="007D0464"/>
    <w:rsid w:val="007D4F99"/>
    <w:rsid w:val="007D7C28"/>
    <w:rsid w:val="007E2F17"/>
    <w:rsid w:val="007F32CE"/>
    <w:rsid w:val="007F545F"/>
    <w:rsid w:val="00814382"/>
    <w:rsid w:val="00817E80"/>
    <w:rsid w:val="008219BB"/>
    <w:rsid w:val="0083596F"/>
    <w:rsid w:val="00840D82"/>
    <w:rsid w:val="00841187"/>
    <w:rsid w:val="008648BD"/>
    <w:rsid w:val="00872A60"/>
    <w:rsid w:val="008743DE"/>
    <w:rsid w:val="008771CA"/>
    <w:rsid w:val="00882259"/>
    <w:rsid w:val="00883A15"/>
    <w:rsid w:val="00885420"/>
    <w:rsid w:val="008869CC"/>
    <w:rsid w:val="008926F6"/>
    <w:rsid w:val="008A458C"/>
    <w:rsid w:val="008B04B7"/>
    <w:rsid w:val="008B31D8"/>
    <w:rsid w:val="008B5C7F"/>
    <w:rsid w:val="008B6E68"/>
    <w:rsid w:val="008C2779"/>
    <w:rsid w:val="008C61F7"/>
    <w:rsid w:val="008D589F"/>
    <w:rsid w:val="008E15F4"/>
    <w:rsid w:val="008E4061"/>
    <w:rsid w:val="008E6DF1"/>
    <w:rsid w:val="008F0B77"/>
    <w:rsid w:val="008F7F42"/>
    <w:rsid w:val="009037BC"/>
    <w:rsid w:val="0090679A"/>
    <w:rsid w:val="009110EC"/>
    <w:rsid w:val="00915106"/>
    <w:rsid w:val="00925605"/>
    <w:rsid w:val="0093537A"/>
    <w:rsid w:val="00936EDF"/>
    <w:rsid w:val="0094020F"/>
    <w:rsid w:val="009430B9"/>
    <w:rsid w:val="00945C49"/>
    <w:rsid w:val="009576C4"/>
    <w:rsid w:val="009641A3"/>
    <w:rsid w:val="00972C69"/>
    <w:rsid w:val="00972DCD"/>
    <w:rsid w:val="00973060"/>
    <w:rsid w:val="009731E3"/>
    <w:rsid w:val="00973E50"/>
    <w:rsid w:val="00973E5E"/>
    <w:rsid w:val="00974EC0"/>
    <w:rsid w:val="00976863"/>
    <w:rsid w:val="0098316F"/>
    <w:rsid w:val="00984882"/>
    <w:rsid w:val="009871EE"/>
    <w:rsid w:val="009875DA"/>
    <w:rsid w:val="00992724"/>
    <w:rsid w:val="009930B6"/>
    <w:rsid w:val="009A2262"/>
    <w:rsid w:val="009A3137"/>
    <w:rsid w:val="009B6774"/>
    <w:rsid w:val="009C1453"/>
    <w:rsid w:val="009C2B5B"/>
    <w:rsid w:val="009D2320"/>
    <w:rsid w:val="009D422E"/>
    <w:rsid w:val="009D79F2"/>
    <w:rsid w:val="009E1A4E"/>
    <w:rsid w:val="009F0E6F"/>
    <w:rsid w:val="009F150E"/>
    <w:rsid w:val="009F41DB"/>
    <w:rsid w:val="00A03D71"/>
    <w:rsid w:val="00A0478D"/>
    <w:rsid w:val="00A04ABA"/>
    <w:rsid w:val="00A179F4"/>
    <w:rsid w:val="00A21C31"/>
    <w:rsid w:val="00A24E8A"/>
    <w:rsid w:val="00A277BB"/>
    <w:rsid w:val="00A335DC"/>
    <w:rsid w:val="00A37C03"/>
    <w:rsid w:val="00A45111"/>
    <w:rsid w:val="00A52AB1"/>
    <w:rsid w:val="00A53D4C"/>
    <w:rsid w:val="00A5569E"/>
    <w:rsid w:val="00A65C9B"/>
    <w:rsid w:val="00A72F4E"/>
    <w:rsid w:val="00A7359A"/>
    <w:rsid w:val="00A82B78"/>
    <w:rsid w:val="00A83055"/>
    <w:rsid w:val="00A96F23"/>
    <w:rsid w:val="00AA48C9"/>
    <w:rsid w:val="00AA7590"/>
    <w:rsid w:val="00AB47B1"/>
    <w:rsid w:val="00AC3A27"/>
    <w:rsid w:val="00AC3A61"/>
    <w:rsid w:val="00AC6621"/>
    <w:rsid w:val="00AC6AF7"/>
    <w:rsid w:val="00AE03E9"/>
    <w:rsid w:val="00AE0DFD"/>
    <w:rsid w:val="00AE2795"/>
    <w:rsid w:val="00AE2E7D"/>
    <w:rsid w:val="00AE3FFC"/>
    <w:rsid w:val="00AE496C"/>
    <w:rsid w:val="00AE7C0E"/>
    <w:rsid w:val="00AF020E"/>
    <w:rsid w:val="00AF0DBD"/>
    <w:rsid w:val="00B001E4"/>
    <w:rsid w:val="00B02D27"/>
    <w:rsid w:val="00B1198A"/>
    <w:rsid w:val="00B138C9"/>
    <w:rsid w:val="00B13D44"/>
    <w:rsid w:val="00B23E2A"/>
    <w:rsid w:val="00B3017E"/>
    <w:rsid w:val="00B32876"/>
    <w:rsid w:val="00B37943"/>
    <w:rsid w:val="00B44177"/>
    <w:rsid w:val="00B50B6C"/>
    <w:rsid w:val="00B52D0D"/>
    <w:rsid w:val="00B57859"/>
    <w:rsid w:val="00B62979"/>
    <w:rsid w:val="00B8135B"/>
    <w:rsid w:val="00B81A8E"/>
    <w:rsid w:val="00B841C8"/>
    <w:rsid w:val="00B84FF7"/>
    <w:rsid w:val="00B85441"/>
    <w:rsid w:val="00B85872"/>
    <w:rsid w:val="00B94580"/>
    <w:rsid w:val="00BA1031"/>
    <w:rsid w:val="00BA4DA7"/>
    <w:rsid w:val="00BA5630"/>
    <w:rsid w:val="00BB5276"/>
    <w:rsid w:val="00BC1D81"/>
    <w:rsid w:val="00BC7E26"/>
    <w:rsid w:val="00BD0D77"/>
    <w:rsid w:val="00BD30BD"/>
    <w:rsid w:val="00BD5ECB"/>
    <w:rsid w:val="00BD68F2"/>
    <w:rsid w:val="00BE2F28"/>
    <w:rsid w:val="00BF0F1A"/>
    <w:rsid w:val="00BF2E9A"/>
    <w:rsid w:val="00BF6A07"/>
    <w:rsid w:val="00C0474E"/>
    <w:rsid w:val="00C049FB"/>
    <w:rsid w:val="00C0551E"/>
    <w:rsid w:val="00C1024F"/>
    <w:rsid w:val="00C12A90"/>
    <w:rsid w:val="00C137FE"/>
    <w:rsid w:val="00C33613"/>
    <w:rsid w:val="00C4167A"/>
    <w:rsid w:val="00C5552B"/>
    <w:rsid w:val="00C6304C"/>
    <w:rsid w:val="00C729F8"/>
    <w:rsid w:val="00C842E1"/>
    <w:rsid w:val="00C93977"/>
    <w:rsid w:val="00C96090"/>
    <w:rsid w:val="00C97188"/>
    <w:rsid w:val="00CA006B"/>
    <w:rsid w:val="00CA302C"/>
    <w:rsid w:val="00CA3D3D"/>
    <w:rsid w:val="00CA5AD7"/>
    <w:rsid w:val="00CB5891"/>
    <w:rsid w:val="00CC404A"/>
    <w:rsid w:val="00CD0F07"/>
    <w:rsid w:val="00CD4E26"/>
    <w:rsid w:val="00CE04DB"/>
    <w:rsid w:val="00CE378F"/>
    <w:rsid w:val="00CE417C"/>
    <w:rsid w:val="00CE6290"/>
    <w:rsid w:val="00D009E4"/>
    <w:rsid w:val="00D00DD9"/>
    <w:rsid w:val="00D013B1"/>
    <w:rsid w:val="00D03613"/>
    <w:rsid w:val="00D0368B"/>
    <w:rsid w:val="00D040FD"/>
    <w:rsid w:val="00D06532"/>
    <w:rsid w:val="00D07DBA"/>
    <w:rsid w:val="00D10BA6"/>
    <w:rsid w:val="00D1312D"/>
    <w:rsid w:val="00D13E01"/>
    <w:rsid w:val="00D15A97"/>
    <w:rsid w:val="00D2187B"/>
    <w:rsid w:val="00D21F03"/>
    <w:rsid w:val="00D22258"/>
    <w:rsid w:val="00D228B6"/>
    <w:rsid w:val="00D30DBC"/>
    <w:rsid w:val="00D42F80"/>
    <w:rsid w:val="00D4344B"/>
    <w:rsid w:val="00D43DFE"/>
    <w:rsid w:val="00D46FC7"/>
    <w:rsid w:val="00D52537"/>
    <w:rsid w:val="00D71B06"/>
    <w:rsid w:val="00D84055"/>
    <w:rsid w:val="00D841BB"/>
    <w:rsid w:val="00D902C2"/>
    <w:rsid w:val="00D94F01"/>
    <w:rsid w:val="00D96078"/>
    <w:rsid w:val="00DA4B4D"/>
    <w:rsid w:val="00DB09EC"/>
    <w:rsid w:val="00DC0BB6"/>
    <w:rsid w:val="00DC1093"/>
    <w:rsid w:val="00DC71F9"/>
    <w:rsid w:val="00DD5BEF"/>
    <w:rsid w:val="00DD5D38"/>
    <w:rsid w:val="00DE1F8D"/>
    <w:rsid w:val="00DE7813"/>
    <w:rsid w:val="00DF0679"/>
    <w:rsid w:val="00E0269B"/>
    <w:rsid w:val="00E039F6"/>
    <w:rsid w:val="00E120D7"/>
    <w:rsid w:val="00E2393A"/>
    <w:rsid w:val="00E27C29"/>
    <w:rsid w:val="00E30184"/>
    <w:rsid w:val="00E30F6D"/>
    <w:rsid w:val="00E32C71"/>
    <w:rsid w:val="00E40B16"/>
    <w:rsid w:val="00E47696"/>
    <w:rsid w:val="00E51A18"/>
    <w:rsid w:val="00E54305"/>
    <w:rsid w:val="00E55026"/>
    <w:rsid w:val="00E55FB4"/>
    <w:rsid w:val="00E60875"/>
    <w:rsid w:val="00E6238B"/>
    <w:rsid w:val="00E71CE6"/>
    <w:rsid w:val="00E741E1"/>
    <w:rsid w:val="00E74553"/>
    <w:rsid w:val="00E75CB9"/>
    <w:rsid w:val="00E80D33"/>
    <w:rsid w:val="00E810CB"/>
    <w:rsid w:val="00E82530"/>
    <w:rsid w:val="00E91987"/>
    <w:rsid w:val="00E926A1"/>
    <w:rsid w:val="00E92BB3"/>
    <w:rsid w:val="00E93925"/>
    <w:rsid w:val="00E96105"/>
    <w:rsid w:val="00EA1158"/>
    <w:rsid w:val="00EA3A08"/>
    <w:rsid w:val="00EA5128"/>
    <w:rsid w:val="00EA6E28"/>
    <w:rsid w:val="00EB1690"/>
    <w:rsid w:val="00EB1AB3"/>
    <w:rsid w:val="00EB1BC9"/>
    <w:rsid w:val="00EB3174"/>
    <w:rsid w:val="00EB4D2D"/>
    <w:rsid w:val="00EC2110"/>
    <w:rsid w:val="00EC5B39"/>
    <w:rsid w:val="00EC77F5"/>
    <w:rsid w:val="00EC7C3B"/>
    <w:rsid w:val="00ED15AB"/>
    <w:rsid w:val="00ED3A5D"/>
    <w:rsid w:val="00ED4F51"/>
    <w:rsid w:val="00EE095D"/>
    <w:rsid w:val="00EE2896"/>
    <w:rsid w:val="00EF0ECA"/>
    <w:rsid w:val="00EF57EE"/>
    <w:rsid w:val="00F019CF"/>
    <w:rsid w:val="00F01AD6"/>
    <w:rsid w:val="00F15A3C"/>
    <w:rsid w:val="00F15CEA"/>
    <w:rsid w:val="00F1679F"/>
    <w:rsid w:val="00F25D2B"/>
    <w:rsid w:val="00F32B54"/>
    <w:rsid w:val="00F427E7"/>
    <w:rsid w:val="00F45857"/>
    <w:rsid w:val="00F45F58"/>
    <w:rsid w:val="00F53812"/>
    <w:rsid w:val="00F61843"/>
    <w:rsid w:val="00F66998"/>
    <w:rsid w:val="00F66CFB"/>
    <w:rsid w:val="00F67808"/>
    <w:rsid w:val="00F74BBB"/>
    <w:rsid w:val="00F84E2E"/>
    <w:rsid w:val="00F86383"/>
    <w:rsid w:val="00F92485"/>
    <w:rsid w:val="00F92ED8"/>
    <w:rsid w:val="00F95DD5"/>
    <w:rsid w:val="00FA1FBF"/>
    <w:rsid w:val="00FB59D4"/>
    <w:rsid w:val="00FC0C02"/>
    <w:rsid w:val="00FC2DE4"/>
    <w:rsid w:val="00FC43EE"/>
    <w:rsid w:val="00FC4932"/>
    <w:rsid w:val="00FC6908"/>
    <w:rsid w:val="00FC76D5"/>
    <w:rsid w:val="00FD7F06"/>
    <w:rsid w:val="00FE32F3"/>
    <w:rsid w:val="00FE6335"/>
    <w:rsid w:val="00FF6A50"/>
    <w:rsid w:val="00FF7EC2"/>
    <w:rsid w:val="0199A2D6"/>
    <w:rsid w:val="024A18B5"/>
    <w:rsid w:val="03243860"/>
    <w:rsid w:val="039DAA1D"/>
    <w:rsid w:val="03FDFFA6"/>
    <w:rsid w:val="04F2EFF8"/>
    <w:rsid w:val="04F58B41"/>
    <w:rsid w:val="053A59F7"/>
    <w:rsid w:val="0594D45F"/>
    <w:rsid w:val="0594D743"/>
    <w:rsid w:val="05BBA64A"/>
    <w:rsid w:val="05FF10FF"/>
    <w:rsid w:val="064F5910"/>
    <w:rsid w:val="06681BCB"/>
    <w:rsid w:val="069086C1"/>
    <w:rsid w:val="080D6D49"/>
    <w:rsid w:val="08AE577A"/>
    <w:rsid w:val="09455CE2"/>
    <w:rsid w:val="09488410"/>
    <w:rsid w:val="0954D151"/>
    <w:rsid w:val="09EC5DD8"/>
    <w:rsid w:val="0B78FBF9"/>
    <w:rsid w:val="0C3A966B"/>
    <w:rsid w:val="0C74AB77"/>
    <w:rsid w:val="0CE44303"/>
    <w:rsid w:val="0DA5132C"/>
    <w:rsid w:val="0E63966D"/>
    <w:rsid w:val="0E6B0E54"/>
    <w:rsid w:val="0F14F855"/>
    <w:rsid w:val="0FEB1A21"/>
    <w:rsid w:val="0FF7F3E9"/>
    <w:rsid w:val="1089DC27"/>
    <w:rsid w:val="10A4654A"/>
    <w:rsid w:val="1103587C"/>
    <w:rsid w:val="112408BD"/>
    <w:rsid w:val="1206BFCB"/>
    <w:rsid w:val="13931DA6"/>
    <w:rsid w:val="13AB1713"/>
    <w:rsid w:val="13C9EEF7"/>
    <w:rsid w:val="1499E1D8"/>
    <w:rsid w:val="14A23405"/>
    <w:rsid w:val="14DE1A11"/>
    <w:rsid w:val="15302D8F"/>
    <w:rsid w:val="15586B47"/>
    <w:rsid w:val="1572515F"/>
    <w:rsid w:val="15D9B79A"/>
    <w:rsid w:val="1679EA72"/>
    <w:rsid w:val="168DB4FF"/>
    <w:rsid w:val="16BA1B09"/>
    <w:rsid w:val="177EE83C"/>
    <w:rsid w:val="1789647D"/>
    <w:rsid w:val="17FAA4D0"/>
    <w:rsid w:val="19BD0394"/>
    <w:rsid w:val="19ED65AD"/>
    <w:rsid w:val="1B0F9D2C"/>
    <w:rsid w:val="1B301004"/>
    <w:rsid w:val="1B3C47FC"/>
    <w:rsid w:val="1C35725C"/>
    <w:rsid w:val="1D1ECE57"/>
    <w:rsid w:val="1D304CF9"/>
    <w:rsid w:val="1D4A54CF"/>
    <w:rsid w:val="1E84FC57"/>
    <w:rsid w:val="1EAF9BF9"/>
    <w:rsid w:val="1F0A23DD"/>
    <w:rsid w:val="1FC89721"/>
    <w:rsid w:val="1FD083AC"/>
    <w:rsid w:val="2125CA82"/>
    <w:rsid w:val="220BDD78"/>
    <w:rsid w:val="2223D6E5"/>
    <w:rsid w:val="2234486E"/>
    <w:rsid w:val="223DBFA8"/>
    <w:rsid w:val="241B040B"/>
    <w:rsid w:val="2515E940"/>
    <w:rsid w:val="25A99F5A"/>
    <w:rsid w:val="269E1469"/>
    <w:rsid w:val="276C9678"/>
    <w:rsid w:val="27CEB0D8"/>
    <w:rsid w:val="27F9F385"/>
    <w:rsid w:val="286BE7F6"/>
    <w:rsid w:val="28896576"/>
    <w:rsid w:val="29913B10"/>
    <w:rsid w:val="29A5608E"/>
    <w:rsid w:val="29AC98FB"/>
    <w:rsid w:val="2AA8CAC1"/>
    <w:rsid w:val="2B05BA22"/>
    <w:rsid w:val="2B3FCF2E"/>
    <w:rsid w:val="2B5F8350"/>
    <w:rsid w:val="2D39B77E"/>
    <w:rsid w:val="2D4317BF"/>
    <w:rsid w:val="2D958047"/>
    <w:rsid w:val="2DD81956"/>
    <w:rsid w:val="2DE9B272"/>
    <w:rsid w:val="2DEB252D"/>
    <w:rsid w:val="2E5195AB"/>
    <w:rsid w:val="2F5C925A"/>
    <w:rsid w:val="30030199"/>
    <w:rsid w:val="30328FCC"/>
    <w:rsid w:val="30476110"/>
    <w:rsid w:val="30D50D94"/>
    <w:rsid w:val="31635C28"/>
    <w:rsid w:val="318BDC4E"/>
    <w:rsid w:val="325E415D"/>
    <w:rsid w:val="327B979F"/>
    <w:rsid w:val="32ABBA66"/>
    <w:rsid w:val="32AD5B79"/>
    <w:rsid w:val="32DB17B1"/>
    <w:rsid w:val="32E7D52C"/>
    <w:rsid w:val="335B68C7"/>
    <w:rsid w:val="347AB150"/>
    <w:rsid w:val="34DE10CB"/>
    <w:rsid w:val="3513E1C7"/>
    <w:rsid w:val="353CEECD"/>
    <w:rsid w:val="354BF3FD"/>
    <w:rsid w:val="35DD89A0"/>
    <w:rsid w:val="360F9145"/>
    <w:rsid w:val="3611EF25"/>
    <w:rsid w:val="36D0D1A8"/>
    <w:rsid w:val="36EDB8AB"/>
    <w:rsid w:val="376809E1"/>
    <w:rsid w:val="37AC2BEF"/>
    <w:rsid w:val="37EBF7DF"/>
    <w:rsid w:val="382954F5"/>
    <w:rsid w:val="39D0886D"/>
    <w:rsid w:val="39DFCB06"/>
    <w:rsid w:val="3A2DC0CA"/>
    <w:rsid w:val="3AD4C781"/>
    <w:rsid w:val="3B36AF10"/>
    <w:rsid w:val="3D6F4750"/>
    <w:rsid w:val="3D9050A5"/>
    <w:rsid w:val="3EBEB9E9"/>
    <w:rsid w:val="3F261484"/>
    <w:rsid w:val="3F6A2789"/>
    <w:rsid w:val="4077B3EE"/>
    <w:rsid w:val="407A43A4"/>
    <w:rsid w:val="41AE3829"/>
    <w:rsid w:val="42D590BE"/>
    <w:rsid w:val="4462FC55"/>
    <w:rsid w:val="44C614A8"/>
    <w:rsid w:val="44C86603"/>
    <w:rsid w:val="4569BF8C"/>
    <w:rsid w:val="4654DDA0"/>
    <w:rsid w:val="470C43D2"/>
    <w:rsid w:val="47925CDF"/>
    <w:rsid w:val="481C4ABD"/>
    <w:rsid w:val="48815318"/>
    <w:rsid w:val="4895EC23"/>
    <w:rsid w:val="48C13C90"/>
    <w:rsid w:val="492185F0"/>
    <w:rsid w:val="496D2885"/>
    <w:rsid w:val="4A6D7003"/>
    <w:rsid w:val="4B637619"/>
    <w:rsid w:val="4C80DCA8"/>
    <w:rsid w:val="4CD377E8"/>
    <w:rsid w:val="4D06EB04"/>
    <w:rsid w:val="4D44FC1F"/>
    <w:rsid w:val="4D9635B7"/>
    <w:rsid w:val="4E0A5537"/>
    <w:rsid w:val="4E381D02"/>
    <w:rsid w:val="4E4CEE46"/>
    <w:rsid w:val="4E91E535"/>
    <w:rsid w:val="4ED44C6E"/>
    <w:rsid w:val="4EE4504B"/>
    <w:rsid w:val="4FCC32AE"/>
    <w:rsid w:val="4FCF8CAD"/>
    <w:rsid w:val="4FF8FD5F"/>
    <w:rsid w:val="50B2DE17"/>
    <w:rsid w:val="50B32618"/>
    <w:rsid w:val="50F6EE17"/>
    <w:rsid w:val="518DC0AE"/>
    <w:rsid w:val="530C3035"/>
    <w:rsid w:val="5318D785"/>
    <w:rsid w:val="541C41B8"/>
    <w:rsid w:val="54492294"/>
    <w:rsid w:val="54D45C08"/>
    <w:rsid w:val="568F4818"/>
    <w:rsid w:val="572E0835"/>
    <w:rsid w:val="579E1B7D"/>
    <w:rsid w:val="58379986"/>
    <w:rsid w:val="584BFB8B"/>
    <w:rsid w:val="587D8C94"/>
    <w:rsid w:val="58BA632C"/>
    <w:rsid w:val="58E49F22"/>
    <w:rsid w:val="58E82AF7"/>
    <w:rsid w:val="591C93B7"/>
    <w:rsid w:val="591F4013"/>
    <w:rsid w:val="5ADE8DD4"/>
    <w:rsid w:val="5B34A2F4"/>
    <w:rsid w:val="5B3E0DE6"/>
    <w:rsid w:val="5B818769"/>
    <w:rsid w:val="5B954663"/>
    <w:rsid w:val="5BDA3D52"/>
    <w:rsid w:val="5C543479"/>
    <w:rsid w:val="5D41557C"/>
    <w:rsid w:val="5DB41436"/>
    <w:rsid w:val="5DF004DA"/>
    <w:rsid w:val="5EEE61AF"/>
    <w:rsid w:val="5FFA7B59"/>
    <w:rsid w:val="60DDA090"/>
    <w:rsid w:val="60E266AC"/>
    <w:rsid w:val="611FA2E6"/>
    <w:rsid w:val="612A84C9"/>
    <w:rsid w:val="61F0C8ED"/>
    <w:rsid w:val="6242BE57"/>
    <w:rsid w:val="6297A76B"/>
    <w:rsid w:val="62A41152"/>
    <w:rsid w:val="6318F3BE"/>
    <w:rsid w:val="6346288A"/>
    <w:rsid w:val="63B92696"/>
    <w:rsid w:val="6443E873"/>
    <w:rsid w:val="64B4C41F"/>
    <w:rsid w:val="64BB5741"/>
    <w:rsid w:val="6534D396"/>
    <w:rsid w:val="65BCC83B"/>
    <w:rsid w:val="66308314"/>
    <w:rsid w:val="663B64F7"/>
    <w:rsid w:val="66827592"/>
    <w:rsid w:val="668C4BA5"/>
    <w:rsid w:val="66E1DDDD"/>
    <w:rsid w:val="67020A5B"/>
    <w:rsid w:val="6709EFB5"/>
    <w:rsid w:val="670CB141"/>
    <w:rsid w:val="6922956F"/>
    <w:rsid w:val="69CC376F"/>
    <w:rsid w:val="6A44E97B"/>
    <w:rsid w:val="6A8AAAB3"/>
    <w:rsid w:val="6ABF3019"/>
    <w:rsid w:val="6AD67568"/>
    <w:rsid w:val="6B18F84C"/>
    <w:rsid w:val="6B1EB02B"/>
    <w:rsid w:val="6B4AC6BE"/>
    <w:rsid w:val="6B8E8EBD"/>
    <w:rsid w:val="6CB00DE8"/>
    <w:rsid w:val="6D37C61F"/>
    <w:rsid w:val="6E4BDE49"/>
    <w:rsid w:val="6E6FB5B8"/>
    <w:rsid w:val="6EB4A9C3"/>
    <w:rsid w:val="6EDE8DAC"/>
    <w:rsid w:val="6F2E28FC"/>
    <w:rsid w:val="6F762A73"/>
    <w:rsid w:val="6FA9E68B"/>
    <w:rsid w:val="7085FE8D"/>
    <w:rsid w:val="7107FFE0"/>
    <w:rsid w:val="711EC89A"/>
    <w:rsid w:val="7203AF5E"/>
    <w:rsid w:val="723979DF"/>
    <w:rsid w:val="725FD571"/>
    <w:rsid w:val="729E903D"/>
    <w:rsid w:val="733B9EF7"/>
    <w:rsid w:val="737859E4"/>
    <w:rsid w:val="73BDD220"/>
    <w:rsid w:val="74B8857F"/>
    <w:rsid w:val="74FC127F"/>
    <w:rsid w:val="75711AA1"/>
    <w:rsid w:val="75E56BF7"/>
    <w:rsid w:val="7720137F"/>
    <w:rsid w:val="783D3C8C"/>
    <w:rsid w:val="7888223F"/>
    <w:rsid w:val="78C09EA5"/>
    <w:rsid w:val="78C5FB7A"/>
    <w:rsid w:val="792E0743"/>
    <w:rsid w:val="798F0BDB"/>
    <w:rsid w:val="7A9CAA35"/>
    <w:rsid w:val="7C3A7E67"/>
    <w:rsid w:val="7C54AD7B"/>
    <w:rsid w:val="7CB61B33"/>
    <w:rsid w:val="7CC631B2"/>
    <w:rsid w:val="7CCE1F38"/>
    <w:rsid w:val="7E5057FD"/>
    <w:rsid w:val="7E8CC9EE"/>
    <w:rsid w:val="7E9023ED"/>
    <w:rsid w:val="7EBEF26F"/>
    <w:rsid w:val="7ED28B26"/>
    <w:rsid w:val="7EE2E7DB"/>
    <w:rsid w:val="7F178215"/>
    <w:rsid w:val="7F239C85"/>
    <w:rsid w:val="7F48CC20"/>
    <w:rsid w:val="7F689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8C14"/>
  <w15:chartTrackingRefBased/>
  <w15:docId w15:val="{332DF907-1BDE-40D2-893C-13987EE2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E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0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C7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5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A15"/>
    <w:rPr>
      <w:color w:val="0000FF"/>
      <w:u w:val="single"/>
    </w:rPr>
  </w:style>
  <w:style w:type="paragraph" w:styleId="Revision">
    <w:name w:val="Revision"/>
    <w:hidden/>
    <w:uiPriority w:val="99"/>
    <w:semiHidden/>
    <w:rsid w:val="005A07B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75550"/>
  </w:style>
  <w:style w:type="paragraph" w:styleId="FootnoteText">
    <w:name w:val="footnote text"/>
    <w:basedOn w:val="Normal"/>
    <w:link w:val="FootnoteTextChar"/>
    <w:uiPriority w:val="99"/>
    <w:semiHidden/>
    <w:unhideWhenUsed/>
    <w:rsid w:val="00C13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7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7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04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65E"/>
  </w:style>
  <w:style w:type="paragraph" w:styleId="Footer">
    <w:name w:val="footer"/>
    <w:basedOn w:val="Normal"/>
    <w:link w:val="FooterChar"/>
    <w:uiPriority w:val="99"/>
    <w:unhideWhenUsed/>
    <w:rsid w:val="00604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65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D5D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uk/guidance/check-your-goods-meet-the-rules-of-origin" TargetMode="External"/><Relationship Id="rId2" Type="http://schemas.openxmlformats.org/officeDocument/2006/relationships/hyperlink" Target="https://www.nstauthority.co.uk/exploration-production/asset-stewardship/expectations/" TargetMode="External"/><Relationship Id="rId1" Type="http://schemas.openxmlformats.org/officeDocument/2006/relationships/hyperlink" Target="https://www.gov.uk/government/publications/north-sea-transition-d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537bba-396a-4b89-9278-29987198104d">
      <UserInfo>
        <DisplayName>Emma Dixon (North Sea Transition Authority)</DisplayName>
        <AccountId>59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F9C9C21B0E64A84C802472338927F" ma:contentTypeVersion="6" ma:contentTypeDescription="Create a new document." ma:contentTypeScope="" ma:versionID="f96bef2edb81abb8d1ca33a05cbfa13c">
  <xsd:schema xmlns:xsd="http://www.w3.org/2001/XMLSchema" xmlns:xs="http://www.w3.org/2001/XMLSchema" xmlns:p="http://schemas.microsoft.com/office/2006/metadata/properties" xmlns:ns2="98e69322-16df-4bef-9f68-ca1f12788a1a" xmlns:ns3="49537bba-396a-4b89-9278-29987198104d" targetNamespace="http://schemas.microsoft.com/office/2006/metadata/properties" ma:root="true" ma:fieldsID="0b7b60f3a401ddfd0676f87e9b654965" ns2:_="" ns3:_="">
    <xsd:import namespace="98e69322-16df-4bef-9f68-ca1f12788a1a"/>
    <xsd:import namespace="49537bba-396a-4b89-9278-299871981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69322-16df-4bef-9f68-ca1f12788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37bba-396a-4b89-9278-299871981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7155B-DAB8-4D6A-8A12-51F38E68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85952-6102-4683-B73A-45D5ADC053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717CC-E07B-4FD2-9728-CB8561DBC012}">
  <ds:schemaRefs>
    <ds:schemaRef ds:uri="http://schemas.microsoft.com/office/2006/metadata/properties"/>
    <ds:schemaRef ds:uri="http://schemas.microsoft.com/office/infopath/2007/PartnerControls"/>
    <ds:schemaRef ds:uri="49537bba-396a-4b89-9278-29987198104d"/>
  </ds:schemaRefs>
</ds:datastoreItem>
</file>

<file path=customXml/itemProps4.xml><?xml version="1.0" encoding="utf-8"?>
<ds:datastoreItem xmlns:ds="http://schemas.openxmlformats.org/officeDocument/2006/customXml" ds:itemID="{46702FC8-8339-4C35-9335-36D4A7691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69322-16df-4bef-9f68-ca1f12788a1a"/>
    <ds:schemaRef ds:uri="49537bba-396a-4b89-9278-299871981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882</Words>
  <Characters>5059</Characters>
  <Application>Microsoft Office Word</Application>
  <DocSecurity>0</DocSecurity>
  <Lines>281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Links>
    <vt:vector size="24" baseType="variant">
      <vt:variant>
        <vt:i4>5570625</vt:i4>
      </vt:variant>
      <vt:variant>
        <vt:i4>6</vt:i4>
      </vt:variant>
      <vt:variant>
        <vt:i4>0</vt:i4>
      </vt:variant>
      <vt:variant>
        <vt:i4>5</vt:i4>
      </vt:variant>
      <vt:variant>
        <vt:lpwstr>https://www.gov.uk/guidance/check-your-goods-meet-the-rules-of-origin</vt:lpwstr>
      </vt:variant>
      <vt:variant>
        <vt:lpwstr/>
      </vt:variant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https://www.nstauthority.co.uk/exploration-production/asset-stewardship/expectations/</vt:lpwstr>
      </vt:variant>
      <vt:variant>
        <vt:lpwstr/>
      </vt:variant>
      <vt:variant>
        <vt:i4>69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https://www.gov.uk/government/publications/north-sea-transition-deal</vt:lpwstr>
      </vt:variant>
      <vt:variant>
        <vt:lpwstr/>
      </vt:variant>
      <vt:variant>
        <vt:i4>3997697</vt:i4>
      </vt:variant>
      <vt:variant>
        <vt:i4>0</vt:i4>
      </vt:variant>
      <vt:variant>
        <vt:i4>0</vt:i4>
      </vt:variant>
      <vt:variant>
        <vt:i4>5</vt:i4>
      </vt:variant>
      <vt:variant>
        <vt:lpwstr>mailto:Emma.Dixon@nstauthority.co.uk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Cattanach (North Sea Transition Authority)</dc:creator>
  <cp:keywords/>
  <dc:description/>
  <cp:lastModifiedBy>Ian Furneaux</cp:lastModifiedBy>
  <cp:revision>2</cp:revision>
  <dcterms:created xsi:type="dcterms:W3CDTF">2022-10-28T13:59:00Z</dcterms:created>
  <dcterms:modified xsi:type="dcterms:W3CDTF">2022-10-28T13:59:00Z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0x010100FDDF9C9C21B0E64A84C802472338927F</vt:lpwstr>
  </property>
  <property fmtid="{D5CDD505-2E9C-101B-9397-08002B2CF9AE}" pid="3" name="Category">
    <vt:lpwstr/>
  </property>
</Properties>
</file>